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9B" w:rsidRPr="0075049B" w:rsidRDefault="0075049B" w:rsidP="0075049B">
      <w:pPr>
        <w:contextualSpacing/>
        <w:jc w:val="center"/>
        <w:rPr>
          <w:b/>
          <w:sz w:val="24"/>
        </w:rPr>
      </w:pPr>
      <w:r w:rsidRPr="0075049B">
        <w:rPr>
          <w:b/>
          <w:sz w:val="24"/>
        </w:rPr>
        <w:t>FİNANSE EDİLMEYEN FAALİYETLER LİSTESİ BEYANI</w:t>
      </w:r>
    </w:p>
    <w:p w:rsidR="0075049B" w:rsidRPr="0075049B" w:rsidRDefault="0075049B" w:rsidP="0075049B">
      <w:pPr>
        <w:widowControl w:val="0"/>
        <w:autoSpaceDE w:val="0"/>
        <w:autoSpaceDN w:val="0"/>
        <w:adjustRightInd w:val="0"/>
        <w:spacing w:before="240" w:line="276" w:lineRule="auto"/>
        <w:jc w:val="both"/>
        <w:rPr>
          <w:rFonts w:cstheme="minorHAnsi"/>
          <w:bCs/>
          <w:color w:val="000000" w:themeColor="text1"/>
        </w:rPr>
      </w:pPr>
      <w:r w:rsidRPr="0075049B">
        <w:rPr>
          <w:rFonts w:cstheme="minorHAnsi"/>
        </w:rPr>
        <w:t xml:space="preserve">Alt-proje </w:t>
      </w:r>
      <w:r w:rsidRPr="0075049B">
        <w:rPr>
          <w:rFonts w:cstheme="minorHAnsi"/>
          <w:bCs/>
          <w:color w:val="000000" w:themeColor="text1"/>
        </w:rPr>
        <w:t>başvurumuza konu olan ürün / teknolojinin Dünya Bankası'nın Finanse Edilmeyen Faaliyetler Listesinde yer almadığını ve Çevr</w:t>
      </w:r>
      <w:bookmarkStart w:id="0" w:name="_GoBack"/>
      <w:bookmarkEnd w:id="0"/>
      <w:r w:rsidRPr="0075049B">
        <w:rPr>
          <w:rFonts w:cstheme="minorHAnsi"/>
          <w:bCs/>
          <w:color w:val="000000" w:themeColor="text1"/>
        </w:rPr>
        <w:t>e ve Sosyal Değerlendirme aşamasında gerekli kanıtlayıcı belgeleri sunacağımızı taahhüt ederiz (Bilgi için lütfen Başvuru Rehberi’ne bakınız).</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50"/>
      </w:tblGrid>
      <w:tr w:rsidR="0075049B" w:rsidRPr="0075049B" w:rsidTr="00CA4F6E">
        <w:trPr>
          <w:trHeight w:val="26"/>
        </w:trPr>
        <w:tc>
          <w:tcPr>
            <w:tcW w:w="2513" w:type="pct"/>
            <w:shd w:val="clear" w:color="auto" w:fill="DEEAF6" w:themeFill="accent1" w:themeFillTint="33"/>
          </w:tcPr>
          <w:p w:rsidR="0075049B" w:rsidRPr="0075049B" w:rsidDel="001B42FF" w:rsidRDefault="0075049B" w:rsidP="0075049B">
            <w:pPr>
              <w:spacing w:after="0" w:line="276" w:lineRule="auto"/>
              <w:jc w:val="both"/>
              <w:rPr>
                <w:rFonts w:eastAsia="Times New Roman" w:cs="Times New Roman"/>
                <w:lang w:eastAsia="ro-RO"/>
              </w:rPr>
            </w:pPr>
            <w:r w:rsidRPr="0075049B">
              <w:rPr>
                <w:rFonts w:eastAsia="Times New Roman" w:cs="Times New Roman"/>
                <w:color w:val="000000" w:themeColor="text1"/>
                <w:lang w:eastAsia="ro-RO"/>
              </w:rPr>
              <w:t>Adı-Soyadı (Başvuru Sahibinin Sorumlu Yetkilisi)</w:t>
            </w:r>
          </w:p>
        </w:tc>
        <w:tc>
          <w:tcPr>
            <w:tcW w:w="2487" w:type="pct"/>
            <w:shd w:val="clear" w:color="auto" w:fill="auto"/>
          </w:tcPr>
          <w:p w:rsidR="0075049B" w:rsidRPr="0075049B" w:rsidRDefault="0075049B" w:rsidP="0075049B">
            <w:pPr>
              <w:spacing w:after="0" w:line="276" w:lineRule="auto"/>
              <w:jc w:val="both"/>
              <w:rPr>
                <w:rFonts w:eastAsia="Times New Roman" w:cs="Times New Roman"/>
                <w:lang w:eastAsia="ro-RO"/>
              </w:rPr>
            </w:pPr>
          </w:p>
        </w:tc>
      </w:tr>
      <w:tr w:rsidR="0075049B" w:rsidRPr="0075049B" w:rsidTr="00CA4F6E">
        <w:trPr>
          <w:trHeight w:val="25"/>
        </w:trPr>
        <w:tc>
          <w:tcPr>
            <w:tcW w:w="2513" w:type="pct"/>
            <w:shd w:val="clear" w:color="auto" w:fill="DEEAF6" w:themeFill="accent1" w:themeFillTint="33"/>
          </w:tcPr>
          <w:p w:rsidR="0075049B" w:rsidRPr="0075049B" w:rsidDel="001B42FF" w:rsidRDefault="0075049B" w:rsidP="0075049B">
            <w:pPr>
              <w:spacing w:after="0" w:line="276" w:lineRule="auto"/>
              <w:jc w:val="both"/>
              <w:rPr>
                <w:rFonts w:eastAsia="Times New Roman" w:cs="Times New Roman"/>
                <w:lang w:eastAsia="ro-RO"/>
              </w:rPr>
            </w:pPr>
            <w:r w:rsidRPr="0075049B">
              <w:rPr>
                <w:rFonts w:eastAsia="Times New Roman" w:cs="Times New Roman"/>
                <w:color w:val="000000" w:themeColor="text1"/>
                <w:lang w:eastAsia="ro-RO"/>
              </w:rPr>
              <w:t>Pozisyon</w:t>
            </w:r>
          </w:p>
        </w:tc>
        <w:tc>
          <w:tcPr>
            <w:tcW w:w="2487" w:type="pct"/>
            <w:shd w:val="clear" w:color="auto" w:fill="auto"/>
          </w:tcPr>
          <w:p w:rsidR="0075049B" w:rsidRPr="0075049B" w:rsidRDefault="0075049B" w:rsidP="0075049B">
            <w:pPr>
              <w:spacing w:after="0" w:line="276" w:lineRule="auto"/>
              <w:jc w:val="both"/>
              <w:rPr>
                <w:rFonts w:eastAsia="Times New Roman" w:cs="Times New Roman"/>
                <w:lang w:eastAsia="ro-RO"/>
              </w:rPr>
            </w:pPr>
          </w:p>
        </w:tc>
      </w:tr>
      <w:tr w:rsidR="0075049B" w:rsidRPr="0075049B" w:rsidTr="00CA4F6E">
        <w:trPr>
          <w:trHeight w:val="26"/>
        </w:trPr>
        <w:tc>
          <w:tcPr>
            <w:tcW w:w="2513" w:type="pct"/>
            <w:shd w:val="clear" w:color="auto" w:fill="DEEAF6" w:themeFill="accent1" w:themeFillTint="33"/>
          </w:tcPr>
          <w:p w:rsidR="0075049B" w:rsidRPr="0075049B" w:rsidDel="001B42FF" w:rsidRDefault="0075049B" w:rsidP="0075049B">
            <w:pPr>
              <w:spacing w:after="0" w:line="276" w:lineRule="auto"/>
              <w:jc w:val="both"/>
              <w:rPr>
                <w:rFonts w:eastAsia="Times New Roman" w:cs="Times New Roman"/>
                <w:lang w:eastAsia="ro-RO"/>
              </w:rPr>
            </w:pPr>
            <w:r w:rsidRPr="0075049B">
              <w:rPr>
                <w:rFonts w:eastAsia="Times New Roman" w:cs="Times New Roman"/>
                <w:color w:val="000000" w:themeColor="text1"/>
                <w:lang w:eastAsia="ro-RO"/>
              </w:rPr>
              <w:t>İmza</w:t>
            </w:r>
          </w:p>
        </w:tc>
        <w:tc>
          <w:tcPr>
            <w:tcW w:w="2487" w:type="pct"/>
            <w:shd w:val="clear" w:color="auto" w:fill="auto"/>
          </w:tcPr>
          <w:p w:rsidR="0075049B" w:rsidRPr="0075049B" w:rsidRDefault="0075049B" w:rsidP="0075049B">
            <w:pPr>
              <w:spacing w:after="0" w:line="276" w:lineRule="auto"/>
              <w:jc w:val="both"/>
              <w:rPr>
                <w:rFonts w:eastAsia="Times New Roman" w:cs="Times New Roman"/>
                <w:lang w:eastAsia="ro-RO"/>
              </w:rPr>
            </w:pPr>
          </w:p>
        </w:tc>
      </w:tr>
      <w:tr w:rsidR="0075049B" w:rsidRPr="0075049B" w:rsidTr="00CA4F6E">
        <w:trPr>
          <w:trHeight w:val="26"/>
        </w:trPr>
        <w:tc>
          <w:tcPr>
            <w:tcW w:w="2513" w:type="pct"/>
            <w:shd w:val="clear" w:color="auto" w:fill="DEEAF6" w:themeFill="accent1" w:themeFillTint="33"/>
          </w:tcPr>
          <w:p w:rsidR="0075049B" w:rsidRPr="0075049B" w:rsidDel="001B42FF" w:rsidRDefault="0075049B" w:rsidP="0075049B">
            <w:pPr>
              <w:spacing w:after="0" w:line="276" w:lineRule="auto"/>
              <w:jc w:val="both"/>
              <w:rPr>
                <w:rFonts w:eastAsia="Times New Roman" w:cs="Times New Roman"/>
                <w:lang w:eastAsia="ro-RO"/>
              </w:rPr>
            </w:pPr>
            <w:r w:rsidRPr="0075049B">
              <w:rPr>
                <w:rFonts w:eastAsia="Times New Roman" w:cs="Times New Roman"/>
                <w:color w:val="000000" w:themeColor="text1"/>
                <w:lang w:eastAsia="ro-RO"/>
              </w:rPr>
              <w:t>Damga</w:t>
            </w:r>
          </w:p>
        </w:tc>
        <w:tc>
          <w:tcPr>
            <w:tcW w:w="2487" w:type="pct"/>
            <w:shd w:val="clear" w:color="auto" w:fill="auto"/>
          </w:tcPr>
          <w:p w:rsidR="0075049B" w:rsidRPr="0075049B" w:rsidRDefault="0075049B" w:rsidP="0075049B">
            <w:pPr>
              <w:spacing w:after="0" w:line="276" w:lineRule="auto"/>
              <w:jc w:val="both"/>
              <w:rPr>
                <w:rFonts w:eastAsia="Times New Roman" w:cs="Times New Roman"/>
                <w:lang w:eastAsia="ro-RO"/>
              </w:rPr>
            </w:pPr>
          </w:p>
        </w:tc>
      </w:tr>
      <w:tr w:rsidR="0075049B" w:rsidRPr="0075049B" w:rsidTr="00CA4F6E">
        <w:trPr>
          <w:trHeight w:val="25"/>
        </w:trPr>
        <w:tc>
          <w:tcPr>
            <w:tcW w:w="2513" w:type="pct"/>
            <w:shd w:val="clear" w:color="auto" w:fill="DEEAF6" w:themeFill="accent1" w:themeFillTint="33"/>
          </w:tcPr>
          <w:p w:rsidR="0075049B" w:rsidRPr="0075049B" w:rsidDel="001B42FF" w:rsidRDefault="0075049B" w:rsidP="0075049B">
            <w:pPr>
              <w:spacing w:after="0" w:line="276" w:lineRule="auto"/>
              <w:jc w:val="both"/>
              <w:rPr>
                <w:rFonts w:eastAsia="Times New Roman" w:cs="Times New Roman"/>
                <w:lang w:eastAsia="ro-RO"/>
              </w:rPr>
            </w:pPr>
            <w:r w:rsidRPr="0075049B">
              <w:rPr>
                <w:rFonts w:eastAsia="Times New Roman" w:cs="Times New Roman"/>
                <w:color w:val="000000" w:themeColor="text1"/>
                <w:lang w:eastAsia="ro-RO"/>
              </w:rPr>
              <w:t>Tarih ve Yer</w:t>
            </w:r>
          </w:p>
        </w:tc>
        <w:tc>
          <w:tcPr>
            <w:tcW w:w="2487" w:type="pct"/>
            <w:shd w:val="clear" w:color="auto" w:fill="auto"/>
          </w:tcPr>
          <w:p w:rsidR="0075049B" w:rsidRPr="0075049B" w:rsidRDefault="0075049B" w:rsidP="0075049B">
            <w:pPr>
              <w:spacing w:after="0" w:line="276" w:lineRule="auto"/>
              <w:jc w:val="both"/>
              <w:rPr>
                <w:rFonts w:eastAsia="Times New Roman" w:cs="Times New Roman"/>
                <w:lang w:eastAsia="ro-RO"/>
              </w:rPr>
            </w:pPr>
          </w:p>
        </w:tc>
      </w:tr>
    </w:tbl>
    <w:p w:rsidR="0075049B" w:rsidRPr="0075049B" w:rsidRDefault="0075049B" w:rsidP="0075049B">
      <w:pPr>
        <w:jc w:val="both"/>
        <w:rPr>
          <w:rFonts w:cstheme="minorHAnsi"/>
          <w:bCs/>
          <w:color w:val="000000" w:themeColor="text1"/>
          <w:szCs w:val="24"/>
        </w:rPr>
      </w:pPr>
    </w:p>
    <w:tbl>
      <w:tblPr>
        <w:tblW w:w="5000" w:type="pct"/>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44"/>
      </w:tblGrid>
      <w:tr w:rsidR="0075049B" w:rsidRPr="0075049B" w:rsidTr="00CA4F6E">
        <w:trPr>
          <w:tblCellSpacing w:w="1440" w:type="nil"/>
        </w:trPr>
        <w:tc>
          <w:tcPr>
            <w:tcW w:w="5000" w:type="pct"/>
            <w:shd w:val="clear" w:color="auto" w:fill="auto"/>
          </w:tcPr>
          <w:p w:rsidR="0075049B" w:rsidRPr="0075049B" w:rsidRDefault="0075049B" w:rsidP="00CA4F6E">
            <w:pPr>
              <w:spacing w:line="240" w:lineRule="auto"/>
              <w:jc w:val="both"/>
              <w:rPr>
                <w:i/>
                <w:sz w:val="20"/>
              </w:rPr>
            </w:pPr>
            <w:r w:rsidRPr="0075049B">
              <w:rPr>
                <w:i/>
                <w:sz w:val="20"/>
              </w:rPr>
              <w:t>Başvuru sahibinin faaliyetleri TKYB çevresel ve sosyal finanse edilmeyen faaliyetler listesi kapsamı dışında olmalıdır. Buna göre, başvuru sahibi bir sonraki bölümde TKYB ve Dünya Bankası'nın finanse edilmeyen faaliyetler listesinden haberdar olduğunu beyan etmelidir (</w:t>
            </w:r>
            <w:hyperlink r:id="rId5" w:history="1">
              <w:r w:rsidRPr="0075049B">
                <w:rPr>
                  <w:i/>
                  <w:color w:val="0563C1" w:themeColor="hyperlink"/>
                  <w:sz w:val="20"/>
                  <w:u w:val="single"/>
                </w:rPr>
                <w:t>http://www.ifc.org/exclusionlist</w:t>
              </w:r>
            </w:hyperlink>
            <w:r w:rsidRPr="0075049B">
              <w:rPr>
                <w:i/>
                <w:sz w:val="20"/>
              </w:rPr>
              <w:t>).</w:t>
            </w:r>
          </w:p>
          <w:p w:rsidR="0075049B" w:rsidRPr="0075049B" w:rsidRDefault="0075049B" w:rsidP="00CA4F6E">
            <w:pPr>
              <w:spacing w:after="200" w:line="240" w:lineRule="auto"/>
              <w:rPr>
                <w:rFonts w:cstheme="minorHAnsi"/>
                <w:i/>
                <w:sz w:val="20"/>
                <w:szCs w:val="20"/>
              </w:rPr>
            </w:pPr>
            <w:r w:rsidRPr="0075049B">
              <w:rPr>
                <w:rFonts w:cstheme="minorHAnsi"/>
                <w:i/>
                <w:sz w:val="20"/>
                <w:szCs w:val="20"/>
              </w:rPr>
              <w:t xml:space="preserve">TKYB, kendi bilgisi </w:t>
            </w:r>
            <w:proofErr w:type="gramStart"/>
            <w:r w:rsidRPr="0075049B">
              <w:rPr>
                <w:rFonts w:cstheme="minorHAnsi"/>
                <w:i/>
                <w:sz w:val="20"/>
                <w:szCs w:val="20"/>
              </w:rPr>
              <w:t>dahilinde</w:t>
            </w:r>
            <w:proofErr w:type="gramEnd"/>
            <w:r w:rsidRPr="0075049B">
              <w:rPr>
                <w:rFonts w:cstheme="minorHAnsi"/>
                <w:i/>
                <w:sz w:val="20"/>
                <w:szCs w:val="20"/>
              </w:rPr>
              <w:t xml:space="preserve"> aşağıdaki projeleri/faaliyetleri doğrudan finanse etmeyeceğini taahhüt eder:</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Zorla çalıştırma veya zararlı veya istismarcı biçimlerde çocuk işçi çalıştırma,</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Türkiye Cumhuriyeti yasa ve düzenlemelerine veya uluslararası sözleşmelere göre yasa dışı kabul edilen herhangi bir ürün veya faaliyetin üretimi ve / veya ticareti, örneğin:</w:t>
            </w:r>
          </w:p>
          <w:p w:rsidR="0075049B" w:rsidRPr="0075049B" w:rsidRDefault="0075049B" w:rsidP="00CA4F6E">
            <w:pPr>
              <w:pStyle w:val="ListParagraph"/>
              <w:numPr>
                <w:ilvl w:val="1"/>
                <w:numId w:val="1"/>
              </w:numPr>
              <w:spacing w:after="200" w:line="240" w:lineRule="auto"/>
              <w:ind w:left="730"/>
              <w:rPr>
                <w:rFonts w:cstheme="minorHAnsi"/>
                <w:i/>
                <w:sz w:val="20"/>
                <w:szCs w:val="20"/>
                <w:lang w:val="tr-TR"/>
              </w:rPr>
            </w:pPr>
            <w:r w:rsidRPr="0075049B">
              <w:rPr>
                <w:rFonts w:cstheme="minorHAnsi"/>
                <w:i/>
                <w:sz w:val="20"/>
                <w:szCs w:val="20"/>
                <w:lang w:val="tr-TR"/>
              </w:rPr>
              <w:t>PCB (</w:t>
            </w:r>
            <w:proofErr w:type="spellStart"/>
            <w:r w:rsidRPr="0075049B">
              <w:rPr>
                <w:rFonts w:cstheme="minorHAnsi"/>
                <w:i/>
                <w:sz w:val="20"/>
                <w:szCs w:val="20"/>
                <w:lang w:val="tr-TR"/>
              </w:rPr>
              <w:t>Poliklorlu</w:t>
            </w:r>
            <w:proofErr w:type="spellEnd"/>
            <w:r w:rsidRPr="0075049B">
              <w:rPr>
                <w:rFonts w:cstheme="minorHAnsi"/>
                <w:i/>
                <w:sz w:val="20"/>
                <w:szCs w:val="20"/>
                <w:lang w:val="tr-TR"/>
              </w:rPr>
              <w:t xml:space="preserve"> </w:t>
            </w:r>
            <w:proofErr w:type="spellStart"/>
            <w:r w:rsidRPr="0075049B">
              <w:rPr>
                <w:rFonts w:cstheme="minorHAnsi"/>
                <w:i/>
                <w:sz w:val="20"/>
                <w:szCs w:val="20"/>
                <w:lang w:val="tr-TR"/>
              </w:rPr>
              <w:t>bifenil</w:t>
            </w:r>
            <w:proofErr w:type="spellEnd"/>
            <w:r w:rsidRPr="0075049B">
              <w:rPr>
                <w:rFonts w:cstheme="minorHAnsi"/>
                <w:i/>
                <w:sz w:val="20"/>
                <w:szCs w:val="20"/>
                <w:lang w:val="tr-TR"/>
              </w:rPr>
              <w:t>) içeren ürünlerin üretimi veya ticareti,</w:t>
            </w:r>
          </w:p>
          <w:p w:rsidR="0075049B" w:rsidRPr="0075049B" w:rsidRDefault="0075049B" w:rsidP="00CA4F6E">
            <w:pPr>
              <w:pStyle w:val="ListParagraph"/>
              <w:numPr>
                <w:ilvl w:val="1"/>
                <w:numId w:val="1"/>
              </w:numPr>
              <w:spacing w:after="200" w:line="240" w:lineRule="auto"/>
              <w:ind w:left="730"/>
              <w:rPr>
                <w:rFonts w:cstheme="minorHAnsi"/>
                <w:i/>
                <w:sz w:val="20"/>
                <w:szCs w:val="20"/>
                <w:lang w:val="tr-TR"/>
              </w:rPr>
            </w:pPr>
            <w:r w:rsidRPr="0075049B">
              <w:rPr>
                <w:rFonts w:cstheme="minorHAnsi"/>
                <w:i/>
                <w:sz w:val="20"/>
                <w:szCs w:val="20"/>
                <w:lang w:val="tr-TR"/>
              </w:rPr>
              <w:t>Uluslararası alanda yasak olan ilaçların, pestisit (böcek ilacı) / herbisit (bitki öldürücü ilaç) ve diğer zararlı maddelerin üretimi ve ticareti (Rotterdam Sözleşmesi, Stockholm Sözleşmesi),</w:t>
            </w:r>
          </w:p>
          <w:p w:rsidR="0075049B" w:rsidRPr="0075049B" w:rsidRDefault="0075049B" w:rsidP="00CA4F6E">
            <w:pPr>
              <w:pStyle w:val="ListParagraph"/>
              <w:numPr>
                <w:ilvl w:val="1"/>
                <w:numId w:val="1"/>
              </w:numPr>
              <w:spacing w:after="200" w:line="240" w:lineRule="auto"/>
              <w:ind w:left="730"/>
              <w:rPr>
                <w:rFonts w:cstheme="minorHAnsi"/>
                <w:i/>
                <w:sz w:val="20"/>
                <w:szCs w:val="20"/>
                <w:lang w:val="tr-TR"/>
              </w:rPr>
            </w:pPr>
            <w:r w:rsidRPr="0075049B">
              <w:rPr>
                <w:rFonts w:cstheme="minorHAnsi"/>
                <w:i/>
                <w:sz w:val="20"/>
                <w:szCs w:val="20"/>
                <w:lang w:val="tr-TR"/>
              </w:rPr>
              <w:t>Uluslararası alanda yasaklanmış ozon tabakasına zarar veren maddelerin üretimi ve ticareti, (Montreal Protokolü),</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Yaban hayatı ticareti, CITES (Nesli Tehlikede Olan Yabani Bitki ve Hayvan Türlerinin Uluslararası Ticaretine İlişkin Sözleşme) kapsamında düzenlenmiş yaban hayatı ürünlerinin ticareti veya üretimi,</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 xml:space="preserve">Tehlikeli atıkların </w:t>
            </w:r>
            <w:proofErr w:type="spellStart"/>
            <w:r w:rsidRPr="0075049B">
              <w:rPr>
                <w:rFonts w:cstheme="minorHAnsi"/>
                <w:i/>
                <w:sz w:val="20"/>
                <w:szCs w:val="20"/>
                <w:lang w:val="tr-TR"/>
              </w:rPr>
              <w:t>sınırlarötesi</w:t>
            </w:r>
            <w:proofErr w:type="spellEnd"/>
            <w:r w:rsidRPr="0075049B">
              <w:rPr>
                <w:rFonts w:cstheme="minorHAnsi"/>
                <w:i/>
                <w:sz w:val="20"/>
                <w:szCs w:val="20"/>
                <w:lang w:val="tr-TR"/>
              </w:rPr>
              <w:t xml:space="preserve"> </w:t>
            </w:r>
            <w:proofErr w:type="spellStart"/>
            <w:r w:rsidRPr="0075049B">
              <w:rPr>
                <w:rFonts w:cstheme="minorHAnsi"/>
                <w:i/>
                <w:sz w:val="20"/>
                <w:szCs w:val="20"/>
                <w:lang w:val="tr-TR"/>
              </w:rPr>
              <w:t>taşınımının</w:t>
            </w:r>
            <w:proofErr w:type="spellEnd"/>
            <w:r w:rsidRPr="0075049B">
              <w:rPr>
                <w:rFonts w:cstheme="minorHAnsi"/>
                <w:i/>
                <w:sz w:val="20"/>
                <w:szCs w:val="20"/>
                <w:lang w:val="tr-TR"/>
              </w:rPr>
              <w:t xml:space="preserve"> ve </w:t>
            </w:r>
            <w:proofErr w:type="spellStart"/>
            <w:r w:rsidRPr="0075049B">
              <w:rPr>
                <w:rFonts w:cstheme="minorHAnsi"/>
                <w:i/>
                <w:sz w:val="20"/>
                <w:szCs w:val="20"/>
                <w:lang w:val="tr-TR"/>
              </w:rPr>
              <w:t>bertarafının</w:t>
            </w:r>
            <w:proofErr w:type="spellEnd"/>
            <w:r w:rsidRPr="0075049B">
              <w:rPr>
                <w:rFonts w:cstheme="minorHAnsi"/>
                <w:i/>
                <w:sz w:val="20"/>
                <w:szCs w:val="20"/>
                <w:lang w:val="tr-TR"/>
              </w:rPr>
              <w:t xml:space="preserve"> kontrolüne ilişkin yasa (</w:t>
            </w:r>
            <w:proofErr w:type="spellStart"/>
            <w:r w:rsidRPr="0075049B">
              <w:rPr>
                <w:rFonts w:cstheme="minorHAnsi"/>
                <w:i/>
                <w:sz w:val="20"/>
                <w:szCs w:val="20"/>
                <w:lang w:val="tr-TR"/>
              </w:rPr>
              <w:t>Bazel</w:t>
            </w:r>
            <w:proofErr w:type="spellEnd"/>
            <w:r w:rsidRPr="0075049B">
              <w:rPr>
                <w:rFonts w:cstheme="minorHAnsi"/>
                <w:i/>
                <w:sz w:val="20"/>
                <w:szCs w:val="20"/>
                <w:lang w:val="tr-TR"/>
              </w:rPr>
              <w:t xml:space="preserve"> Sözleşmesi) </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Ateşli silah ve mühimmat üretimi veya ticareti,</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Alkollü içecek (bira ve şarap hariç) üretimi veya ticareti,</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Tütün ürünleri üretimi veya ticareti,</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Kumar, kumarhane ve eşdeğer girişimler,</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Bağlanmamış asbest lifi ticareti veya üretimi,</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 xml:space="preserve">Türkiye Cumhuriyeti mevzuatı veya Bonn Sözleşmesi, </w:t>
            </w:r>
            <w:proofErr w:type="spellStart"/>
            <w:r w:rsidRPr="0075049B">
              <w:rPr>
                <w:rFonts w:cstheme="minorHAnsi"/>
                <w:i/>
                <w:sz w:val="20"/>
                <w:szCs w:val="20"/>
                <w:lang w:val="tr-TR"/>
              </w:rPr>
              <w:t>Ramsar</w:t>
            </w:r>
            <w:proofErr w:type="spellEnd"/>
            <w:r w:rsidRPr="0075049B">
              <w:rPr>
                <w:rFonts w:cstheme="minorHAnsi"/>
                <w:i/>
                <w:sz w:val="20"/>
                <w:szCs w:val="20"/>
                <w:lang w:val="tr-TR"/>
              </w:rPr>
              <w:t xml:space="preserve"> Sözleşmesi, Dünya Kültürel ve Doğal Mirasın Korunması Sözleşmesi ve Biyolojik Çeşitlilik Sözleşmesi gibi </w:t>
            </w:r>
            <w:proofErr w:type="spellStart"/>
            <w:r w:rsidRPr="0075049B">
              <w:rPr>
                <w:rFonts w:cstheme="minorHAnsi"/>
                <w:i/>
                <w:sz w:val="20"/>
                <w:szCs w:val="20"/>
                <w:lang w:val="tr-TR"/>
              </w:rPr>
              <w:t>biyoçeşitlilik</w:t>
            </w:r>
            <w:proofErr w:type="spellEnd"/>
            <w:r w:rsidRPr="0075049B">
              <w:rPr>
                <w:rFonts w:cstheme="minorHAnsi"/>
                <w:i/>
                <w:sz w:val="20"/>
                <w:szCs w:val="20"/>
                <w:lang w:val="tr-TR"/>
              </w:rPr>
              <w:t xml:space="preserve"> veya kültürel kaynakların korunmasına ilişkin uluslararası sözleşmeler tarafından yasaklanan faaliyetler,</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 xml:space="preserve">Ticari ağaç kesimi veya birincil tropikal yağmur ormanlarında veya yaşlı ormanlarda kullanılmak üzere </w:t>
            </w:r>
            <w:proofErr w:type="gramStart"/>
            <w:r w:rsidRPr="0075049B">
              <w:rPr>
                <w:rFonts w:cstheme="minorHAnsi"/>
                <w:i/>
                <w:sz w:val="20"/>
                <w:szCs w:val="20"/>
                <w:lang w:val="tr-TR"/>
              </w:rPr>
              <w:t>ekipman</w:t>
            </w:r>
            <w:proofErr w:type="gramEnd"/>
            <w:r w:rsidRPr="0075049B">
              <w:rPr>
                <w:rFonts w:cstheme="minorHAnsi"/>
                <w:i/>
                <w:sz w:val="20"/>
                <w:szCs w:val="20"/>
                <w:lang w:val="tr-TR"/>
              </w:rPr>
              <w:t xml:space="preserve"> satın alınması, </w:t>
            </w:r>
          </w:p>
          <w:p w:rsidR="0075049B" w:rsidRPr="0075049B" w:rsidRDefault="0075049B" w:rsidP="00CA4F6E">
            <w:pPr>
              <w:pStyle w:val="ListParagraph"/>
              <w:numPr>
                <w:ilvl w:val="0"/>
                <w:numId w:val="1"/>
              </w:numPr>
              <w:spacing w:after="200" w:line="240" w:lineRule="auto"/>
              <w:ind w:left="446"/>
              <w:rPr>
                <w:rFonts w:cstheme="minorHAnsi"/>
                <w:i/>
                <w:sz w:val="20"/>
                <w:szCs w:val="20"/>
                <w:lang w:val="tr-TR"/>
              </w:rPr>
            </w:pPr>
            <w:r w:rsidRPr="0075049B">
              <w:rPr>
                <w:rFonts w:cstheme="minorHAnsi"/>
                <w:i/>
                <w:sz w:val="20"/>
                <w:szCs w:val="20"/>
                <w:lang w:val="tr-TR"/>
              </w:rPr>
              <w:t xml:space="preserve">Sürdürülebilir şekilde yönetilmeyen ormanlardan ahşap veya diğer orman ürünlerinin üretim veya ticareti kapsayan faaliyetler, </w:t>
            </w:r>
          </w:p>
          <w:p w:rsidR="0075049B" w:rsidRPr="0075049B" w:rsidRDefault="0075049B" w:rsidP="00CA4F6E">
            <w:pPr>
              <w:pStyle w:val="ListParagraph"/>
              <w:numPr>
                <w:ilvl w:val="0"/>
                <w:numId w:val="1"/>
              </w:numPr>
              <w:spacing w:after="200" w:line="240" w:lineRule="auto"/>
              <w:ind w:left="446"/>
              <w:rPr>
                <w:rFonts w:cstheme="minorHAnsi"/>
                <w:sz w:val="20"/>
                <w:szCs w:val="20"/>
                <w:lang w:val="tr-TR"/>
              </w:rPr>
            </w:pPr>
            <w:r w:rsidRPr="0075049B">
              <w:rPr>
                <w:rFonts w:cstheme="minorHAnsi"/>
                <w:i/>
                <w:sz w:val="20"/>
                <w:szCs w:val="20"/>
                <w:lang w:val="tr-TR"/>
              </w:rPr>
              <w:t xml:space="preserve">Çok sayıda hassas veya korunan türe zarar veren ya da denizel </w:t>
            </w:r>
            <w:proofErr w:type="spellStart"/>
            <w:r w:rsidRPr="0075049B">
              <w:rPr>
                <w:rFonts w:cstheme="minorHAnsi"/>
                <w:i/>
                <w:sz w:val="20"/>
                <w:szCs w:val="20"/>
                <w:lang w:val="tr-TR"/>
              </w:rPr>
              <w:t>biyoçeşitlilik</w:t>
            </w:r>
            <w:proofErr w:type="spellEnd"/>
            <w:r w:rsidRPr="0075049B">
              <w:rPr>
                <w:rFonts w:cstheme="minorHAnsi"/>
                <w:i/>
                <w:sz w:val="20"/>
                <w:szCs w:val="20"/>
                <w:lang w:val="tr-TR"/>
              </w:rPr>
              <w:t xml:space="preserve"> ve habitatlara tehlike oluşturan denizcilik veya kıyı balıkçılığı uygulamaları</w:t>
            </w:r>
          </w:p>
          <w:p w:rsidR="0075049B" w:rsidRPr="0075049B" w:rsidRDefault="0075049B" w:rsidP="00CA4F6E">
            <w:pPr>
              <w:pStyle w:val="ListParagraph"/>
              <w:numPr>
                <w:ilvl w:val="0"/>
                <w:numId w:val="1"/>
              </w:numPr>
              <w:spacing w:after="200" w:line="240" w:lineRule="auto"/>
              <w:ind w:left="446"/>
              <w:rPr>
                <w:rFonts w:ascii="Times New Roman" w:hAnsi="Times New Roman"/>
                <w:lang w:val="tr-TR"/>
              </w:rPr>
            </w:pPr>
            <w:r w:rsidRPr="0075049B">
              <w:rPr>
                <w:rFonts w:cstheme="minorHAnsi"/>
                <w:sz w:val="20"/>
                <w:szCs w:val="20"/>
                <w:lang w:val="tr-TR"/>
              </w:rPr>
              <w:t>IMO gereklilikleri ile uyumlu olmayan, petrol veya diğer tehlikeli</w:t>
            </w:r>
            <w:r w:rsidRPr="0075049B">
              <w:rPr>
                <w:rFonts w:cstheme="minorHAnsi"/>
                <w:i/>
                <w:sz w:val="20"/>
                <w:szCs w:val="20"/>
                <w:lang w:val="tr-TR"/>
              </w:rPr>
              <w:t xml:space="preserve"> maddelerin tankerlerle nakliyesi (IMO, MARPOL, SOLAS </w:t>
            </w:r>
            <w:proofErr w:type="spellStart"/>
            <w:r w:rsidRPr="0075049B">
              <w:rPr>
                <w:rFonts w:cstheme="minorHAnsi"/>
                <w:i/>
                <w:sz w:val="20"/>
                <w:szCs w:val="20"/>
                <w:lang w:val="tr-TR"/>
              </w:rPr>
              <w:t>and</w:t>
            </w:r>
            <w:proofErr w:type="spellEnd"/>
            <w:r w:rsidRPr="0075049B">
              <w:rPr>
                <w:rFonts w:cstheme="minorHAnsi"/>
                <w:i/>
                <w:sz w:val="20"/>
                <w:szCs w:val="20"/>
                <w:lang w:val="tr-TR"/>
              </w:rPr>
              <w:t xml:space="preserve"> Paris MOU).</w:t>
            </w:r>
          </w:p>
        </w:tc>
      </w:tr>
    </w:tbl>
    <w:p w:rsidR="00FD5361" w:rsidRPr="0075049B" w:rsidRDefault="0075049B"/>
    <w:sectPr w:rsidR="00FD5361" w:rsidRPr="00750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1D94"/>
    <w:multiLevelType w:val="hybridMultilevel"/>
    <w:tmpl w:val="8E0A7A54"/>
    <w:lvl w:ilvl="0" w:tplc="7284991A">
      <w:start w:val="1"/>
      <w:numFmt w:val="decimal"/>
      <w:lvlText w:val="%1."/>
      <w:lvlJc w:val="left"/>
      <w:pPr>
        <w:ind w:left="720" w:hanging="360"/>
      </w:pPr>
      <w:rPr>
        <w:rFonts w:asciiTheme="minorHAnsi" w:hAnsiTheme="minorHAnsi" w:cstheme="minorHAnsi" w:hint="default"/>
        <w:i/>
        <w:sz w:val="20"/>
        <w:szCs w:val="2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1F"/>
    <w:rsid w:val="000D2F1F"/>
    <w:rsid w:val="001831F2"/>
    <w:rsid w:val="0075049B"/>
    <w:rsid w:val="008B5D9D"/>
    <w:rsid w:val="00A92C0D"/>
    <w:rsid w:val="00AD64EF"/>
    <w:rsid w:val="00BC3512"/>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D7C7-A6A1-4CB0-BC85-59C6E1C4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75049B"/>
    <w:pPr>
      <w:ind w:left="720"/>
      <w:contextualSpacing/>
    </w:pPr>
    <w:rPr>
      <w:lang w:val="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7504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c.org/exclusion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Kalkınma Yatırım Bankası</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Eren Düşgün</cp:lastModifiedBy>
  <cp:revision>2</cp:revision>
  <dcterms:created xsi:type="dcterms:W3CDTF">2021-12-17T08:34:00Z</dcterms:created>
  <dcterms:modified xsi:type="dcterms:W3CDTF">2021-12-17T08:35:00Z</dcterms:modified>
</cp:coreProperties>
</file>