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BF" w:rsidRPr="002B1ACE" w:rsidRDefault="00962CBF" w:rsidP="00962CBF">
      <w:pPr>
        <w:spacing w:line="240" w:lineRule="auto"/>
        <w:ind w:left="360"/>
        <w:jc w:val="center"/>
        <w:rPr>
          <w:rFonts w:eastAsia="Calibri" w:cs="Times New Roman"/>
          <w:b/>
          <w:sz w:val="24"/>
          <w:szCs w:val="24"/>
        </w:rPr>
      </w:pPr>
      <w:bookmarkStart w:id="0" w:name="_GoBack"/>
      <w:bookmarkEnd w:id="0"/>
      <w:r w:rsidRPr="002B1ACE">
        <w:rPr>
          <w:rFonts w:eastAsia="Calibri" w:cs="Times New Roman"/>
          <w:b/>
          <w:sz w:val="24"/>
          <w:szCs w:val="24"/>
        </w:rPr>
        <w:t>DECLARATION BY THE APPLICANT FIRM</w:t>
      </w:r>
    </w:p>
    <w:p w:rsidR="00962CBF" w:rsidRPr="00B631E9" w:rsidRDefault="00962CBF" w:rsidP="0096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color w:val="000000" w:themeColor="text1"/>
          <w:lang w:val="en-US"/>
        </w:rPr>
      </w:pPr>
      <w:r w:rsidRPr="00B631E9">
        <w:rPr>
          <w:rFonts w:cstheme="minorHAnsi"/>
          <w:color w:val="000000" w:themeColor="text1"/>
          <w:lang w:val="en-US"/>
        </w:rPr>
        <w:t xml:space="preserve">I, the undersigned, being the person responsible in the applicant organization for the </w:t>
      </w:r>
      <w:r>
        <w:rPr>
          <w:rFonts w:cstheme="minorHAnsi"/>
          <w:color w:val="000000" w:themeColor="text1"/>
          <w:lang w:val="en-US"/>
        </w:rPr>
        <w:t>sub-project</w:t>
      </w:r>
      <w:r w:rsidRPr="00B631E9">
        <w:rPr>
          <w:rFonts w:cstheme="minorHAnsi"/>
          <w:color w:val="000000" w:themeColor="text1"/>
          <w:lang w:val="en-US"/>
        </w:rPr>
        <w:t>, certify that:</w:t>
      </w: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The information given in this application is correct; and</w:t>
      </w:r>
    </w:p>
    <w:p w:rsidR="00962CBF" w:rsidRPr="00B631E9" w:rsidRDefault="00962CBF" w:rsidP="0096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cstheme="minorHAnsi"/>
          <w:color w:val="000000" w:themeColor="text1"/>
          <w:lang w:val="en-US"/>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We are fully informed about the legislation regarding the Sub-Grant Program for which we applied for the sub-project and we will act in accordance with the legislation.</w:t>
      </w:r>
    </w:p>
    <w:p w:rsidR="00962CBF" w:rsidRPr="00B631E9" w:rsidRDefault="00962CBF" w:rsidP="00962CBF">
      <w:pPr>
        <w:pStyle w:val="ListParagraph"/>
        <w:spacing w:after="0"/>
        <w:rPr>
          <w:rFonts w:cstheme="minorHAnsi"/>
          <w:color w:val="000000" w:themeColor="text1"/>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Pr>
          <w:rFonts w:cstheme="minorHAnsi"/>
          <w:color w:val="000000" w:themeColor="text1"/>
          <w:lang w:val="en-US"/>
        </w:rPr>
        <w:t>W</w:t>
      </w:r>
      <w:r w:rsidRPr="00B631E9">
        <w:rPr>
          <w:rFonts w:cstheme="minorHAnsi"/>
          <w:color w:val="000000" w:themeColor="text1"/>
          <w:lang w:val="en-US"/>
        </w:rPr>
        <w:t xml:space="preserve">e have fully read and understood the </w:t>
      </w:r>
      <w:r>
        <w:rPr>
          <w:rFonts w:cstheme="minorHAnsi"/>
          <w:color w:val="000000" w:themeColor="text1"/>
          <w:lang w:val="en-US"/>
        </w:rPr>
        <w:t>Application</w:t>
      </w:r>
      <w:r w:rsidRPr="00B631E9">
        <w:rPr>
          <w:rFonts w:cstheme="minorHAnsi"/>
          <w:color w:val="000000" w:themeColor="text1"/>
          <w:lang w:val="en-US"/>
        </w:rPr>
        <w:t xml:space="preserve"> Guideline for Sub-Grant Program for For</w:t>
      </w:r>
      <w:r>
        <w:rPr>
          <w:rFonts w:cstheme="minorHAnsi"/>
          <w:color w:val="000000" w:themeColor="text1"/>
          <w:lang w:val="en-US"/>
        </w:rPr>
        <w:t xml:space="preserve">mal Employment Creation Project </w:t>
      </w:r>
      <w:r w:rsidRPr="00B631E9">
        <w:rPr>
          <w:rFonts w:cstheme="minorHAnsi"/>
          <w:color w:val="000000" w:themeColor="text1"/>
          <w:lang w:val="en-US"/>
        </w:rPr>
        <w:t xml:space="preserve">prepared by </w:t>
      </w:r>
      <w:r>
        <w:rPr>
          <w:rFonts w:cstheme="minorHAnsi"/>
          <w:color w:val="000000" w:themeColor="text1"/>
          <w:lang w:val="en-US"/>
        </w:rPr>
        <w:t>TKYB</w:t>
      </w:r>
      <w:r w:rsidRPr="00B631E9">
        <w:rPr>
          <w:rFonts w:cstheme="minorHAnsi"/>
          <w:color w:val="000000" w:themeColor="text1"/>
          <w:lang w:val="en-US"/>
        </w:rPr>
        <w:t xml:space="preserve">, we have prepared the sub-project application within the framework of the rules specified in this Guideline, that we will submit all kinds of information and documents for </w:t>
      </w:r>
      <w:r>
        <w:rPr>
          <w:rFonts w:cstheme="minorHAnsi"/>
          <w:color w:val="000000" w:themeColor="text1"/>
          <w:lang w:val="en-US"/>
        </w:rPr>
        <w:t>TKYB</w:t>
      </w:r>
      <w:r w:rsidRPr="00B631E9">
        <w:rPr>
          <w:rFonts w:cstheme="minorHAnsi"/>
          <w:color w:val="000000" w:themeColor="text1"/>
          <w:lang w:val="en-US"/>
        </w:rPr>
        <w:t xml:space="preserve"> to carry out the necessary audits and monitoring, and that we will provide the necessary environment and facilities.</w:t>
      </w:r>
    </w:p>
    <w:p w:rsidR="00962CBF" w:rsidRPr="00B631E9" w:rsidRDefault="00962CBF" w:rsidP="0096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cstheme="minorHAnsi"/>
          <w:color w:val="000000" w:themeColor="text1"/>
          <w:lang w:val="en-US"/>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 xml:space="preserve">The originals of all the documents uploaded to the online platform will be submitted immediately if requested by </w:t>
      </w:r>
      <w:r>
        <w:rPr>
          <w:rFonts w:cstheme="minorHAnsi"/>
          <w:color w:val="000000" w:themeColor="text1"/>
          <w:lang w:val="en-US"/>
        </w:rPr>
        <w:t>TKYB</w:t>
      </w:r>
      <w:r w:rsidRPr="00B631E9">
        <w:rPr>
          <w:rFonts w:cstheme="minorHAnsi"/>
          <w:color w:val="000000" w:themeColor="text1"/>
          <w:lang w:val="en-US"/>
        </w:rPr>
        <w:t>.</w:t>
      </w:r>
    </w:p>
    <w:p w:rsidR="00962CBF" w:rsidRPr="00B631E9" w:rsidRDefault="00962CBF" w:rsidP="00962CBF">
      <w:pPr>
        <w:pStyle w:val="ListParagraph"/>
        <w:spacing w:after="0"/>
        <w:rPr>
          <w:rFonts w:cstheme="minorHAnsi"/>
          <w:color w:val="000000" w:themeColor="text1"/>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 xml:space="preserve">We will accept the results of the evaluation to be made by </w:t>
      </w:r>
      <w:r>
        <w:rPr>
          <w:rFonts w:cstheme="minorHAnsi"/>
          <w:color w:val="000000" w:themeColor="text1"/>
          <w:lang w:val="en-US"/>
        </w:rPr>
        <w:t>TKYB</w:t>
      </w:r>
      <w:r w:rsidRPr="00B631E9">
        <w:rPr>
          <w:rFonts w:cstheme="minorHAnsi"/>
          <w:color w:val="000000" w:themeColor="text1"/>
          <w:lang w:val="en-US"/>
        </w:rPr>
        <w:t xml:space="preserve"> regarding the sub-project.</w:t>
      </w:r>
    </w:p>
    <w:p w:rsidR="00962CBF" w:rsidRPr="00B631E9" w:rsidRDefault="00962CBF" w:rsidP="00962CBF">
      <w:pPr>
        <w:pStyle w:val="ListParagraph"/>
        <w:spacing w:after="0"/>
        <w:rPr>
          <w:rFonts w:cstheme="minorHAnsi"/>
          <w:color w:val="000000" w:themeColor="text1"/>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 xml:space="preserve">It is known that in case of conflict in all the information and documents given regarding the sub-project for which we have applied to </w:t>
      </w:r>
      <w:r>
        <w:rPr>
          <w:rFonts w:cstheme="minorHAnsi"/>
          <w:color w:val="000000" w:themeColor="text1"/>
          <w:lang w:val="en-US"/>
        </w:rPr>
        <w:t>TKYB</w:t>
      </w:r>
      <w:r w:rsidRPr="00B631E9">
        <w:rPr>
          <w:rFonts w:cstheme="minorHAnsi"/>
          <w:color w:val="000000" w:themeColor="text1"/>
          <w:lang w:val="en-US"/>
        </w:rPr>
        <w:t xml:space="preserve"> electronically, </w:t>
      </w:r>
      <w:r>
        <w:rPr>
          <w:rFonts w:cstheme="minorHAnsi"/>
          <w:color w:val="000000" w:themeColor="text1"/>
          <w:lang w:val="en-US"/>
        </w:rPr>
        <w:t>TKYB’s</w:t>
      </w:r>
      <w:r w:rsidRPr="00B631E9">
        <w:rPr>
          <w:rFonts w:cstheme="minorHAnsi"/>
          <w:color w:val="000000" w:themeColor="text1"/>
          <w:lang w:val="en-US"/>
        </w:rPr>
        <w:t xml:space="preserve"> electronic data records will be taken as basis.</w:t>
      </w:r>
    </w:p>
    <w:p w:rsidR="00962CBF" w:rsidRPr="00B631E9" w:rsidRDefault="00962CBF" w:rsidP="00962CBF">
      <w:pPr>
        <w:pStyle w:val="ListParagraph"/>
        <w:spacing w:after="0"/>
        <w:rPr>
          <w:rFonts w:cstheme="minorHAnsi"/>
          <w:color w:val="000000" w:themeColor="text1"/>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 xml:space="preserve">We are aware that the announced Call </w:t>
      </w:r>
      <w:r>
        <w:rPr>
          <w:rFonts w:cstheme="minorHAnsi"/>
          <w:color w:val="000000" w:themeColor="text1"/>
          <w:lang w:val="en-US"/>
        </w:rPr>
        <w:t>f</w:t>
      </w:r>
      <w:r w:rsidRPr="00B631E9">
        <w:rPr>
          <w:rFonts w:cstheme="minorHAnsi"/>
          <w:color w:val="000000" w:themeColor="text1"/>
          <w:lang w:val="en-US"/>
        </w:rPr>
        <w:t>or Proposals can be cancel</w:t>
      </w:r>
      <w:r>
        <w:rPr>
          <w:rFonts w:cstheme="minorHAnsi"/>
          <w:color w:val="000000" w:themeColor="text1"/>
          <w:lang w:val="en-US"/>
        </w:rPr>
        <w:t>l</w:t>
      </w:r>
      <w:r w:rsidRPr="00B631E9">
        <w:rPr>
          <w:rFonts w:cstheme="minorHAnsi"/>
          <w:color w:val="000000" w:themeColor="text1"/>
          <w:lang w:val="en-US"/>
        </w:rPr>
        <w:t xml:space="preserve">ed until the list of sub-projects to be awarded is announced, and in this case, no right or compensation can be claimed from </w:t>
      </w:r>
      <w:r>
        <w:rPr>
          <w:rFonts w:cstheme="minorHAnsi"/>
          <w:color w:val="000000" w:themeColor="text1"/>
          <w:lang w:val="en-US"/>
        </w:rPr>
        <w:t>TKYB</w:t>
      </w:r>
      <w:r w:rsidRPr="00B631E9">
        <w:rPr>
          <w:rFonts w:cstheme="minorHAnsi"/>
          <w:color w:val="000000" w:themeColor="text1"/>
          <w:lang w:val="en-US"/>
        </w:rPr>
        <w:t>.</w:t>
      </w:r>
    </w:p>
    <w:p w:rsidR="00962CBF" w:rsidRPr="00B631E9" w:rsidRDefault="00962CBF" w:rsidP="00962CBF">
      <w:pPr>
        <w:pStyle w:val="ListParagraph"/>
        <w:spacing w:after="0"/>
        <w:rPr>
          <w:rFonts w:cstheme="minorHAnsi"/>
          <w:color w:val="000000" w:themeColor="text1"/>
        </w:rPr>
      </w:pPr>
    </w:p>
    <w:p w:rsidR="00962CBF"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The sub-project as a whole or the expenditure items within the scope of the sub-project are not financed or supported by other institutions and organizations, no application has been made in this regard. If it is decided that the sub-project will be awarded</w:t>
      </w:r>
      <w:r>
        <w:rPr>
          <w:rFonts w:cstheme="minorHAnsi"/>
          <w:color w:val="000000" w:themeColor="text1"/>
          <w:lang w:val="en-US"/>
        </w:rPr>
        <w:t xml:space="preserve"> by TKYB</w:t>
      </w:r>
      <w:r w:rsidRPr="00B631E9">
        <w:rPr>
          <w:rFonts w:cstheme="minorHAnsi"/>
          <w:color w:val="000000" w:themeColor="text1"/>
          <w:lang w:val="en-US"/>
        </w:rPr>
        <w:t>, no support will be requested from other institutions and organizations for the project as a whole or for the expenditure items within the scope of the sub-project. If this situation is encountered, the sub-project may be deemed ineligib</w:t>
      </w:r>
      <w:r>
        <w:rPr>
          <w:rFonts w:cstheme="minorHAnsi"/>
          <w:color w:val="000000" w:themeColor="text1"/>
          <w:lang w:val="en-US"/>
        </w:rPr>
        <w:t>l</w:t>
      </w:r>
      <w:r w:rsidRPr="00B631E9">
        <w:rPr>
          <w:rFonts w:cstheme="minorHAnsi"/>
          <w:color w:val="000000" w:themeColor="text1"/>
          <w:lang w:val="en-US"/>
        </w:rPr>
        <w:t>e</w:t>
      </w:r>
      <w:r>
        <w:rPr>
          <w:rFonts w:cstheme="minorHAnsi"/>
          <w:color w:val="000000" w:themeColor="text1"/>
          <w:lang w:val="en-US"/>
        </w:rPr>
        <w:t>;</w:t>
      </w:r>
      <w:r w:rsidRPr="00B631E9">
        <w:rPr>
          <w:rFonts w:cstheme="minorHAnsi"/>
          <w:color w:val="000000" w:themeColor="text1"/>
          <w:lang w:val="en-US"/>
        </w:rPr>
        <w:t xml:space="preserve"> if the sub-grant contract has been signed, the contract may be terminated or the expenditures within the scope of the sub-grant will not be considered </w:t>
      </w:r>
      <w:r>
        <w:rPr>
          <w:rFonts w:cstheme="minorHAnsi"/>
          <w:color w:val="000000" w:themeColor="text1"/>
          <w:lang w:val="en-US"/>
        </w:rPr>
        <w:t xml:space="preserve">as </w:t>
      </w:r>
      <w:r w:rsidRPr="00B631E9">
        <w:rPr>
          <w:rFonts w:cstheme="minorHAnsi"/>
          <w:color w:val="000000" w:themeColor="text1"/>
          <w:lang w:val="en-US"/>
        </w:rPr>
        <w:t>eligible costs.</w:t>
      </w:r>
    </w:p>
    <w:p w:rsidR="00962CBF" w:rsidRDefault="00962CBF" w:rsidP="00962CBF">
      <w:pPr>
        <w:pStyle w:val="ListParagraph"/>
        <w:spacing w:after="0"/>
        <w:rPr>
          <w:rFonts w:cstheme="minorHAnsi"/>
          <w:color w:val="000000" w:themeColor="text1"/>
        </w:rPr>
      </w:pPr>
    </w:p>
    <w:p w:rsidR="00962CBF" w:rsidRPr="00440CA2"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440CA2">
        <w:rPr>
          <w:rFonts w:cstheme="minorHAnsi"/>
          <w:color w:val="000000" w:themeColor="text1"/>
          <w:lang w:val="en-US"/>
        </w:rPr>
        <w:t>We acknowledge, declare and undertake that we have read the guide "</w:t>
      </w:r>
      <w:r>
        <w:rPr>
          <w:rFonts w:cstheme="minorHAnsi"/>
          <w:color w:val="000000" w:themeColor="text1"/>
          <w:lang w:val="en-US"/>
        </w:rPr>
        <w:t xml:space="preserve">The World Bank, Procurement Regulations for IPF Borrowers - </w:t>
      </w:r>
      <w:r>
        <w:t>P</w:t>
      </w:r>
      <w:proofErr w:type="spellStart"/>
      <w:r w:rsidRPr="00E81270">
        <w:rPr>
          <w:rFonts w:cstheme="minorHAnsi"/>
          <w:color w:val="000000" w:themeColor="text1"/>
          <w:lang w:val="en-US"/>
        </w:rPr>
        <w:t>rocurement</w:t>
      </w:r>
      <w:proofErr w:type="spellEnd"/>
      <w:r w:rsidRPr="00E81270">
        <w:rPr>
          <w:rFonts w:cstheme="minorHAnsi"/>
          <w:color w:val="000000" w:themeColor="text1"/>
          <w:lang w:val="en-US"/>
        </w:rPr>
        <w:t xml:space="preserve"> </w:t>
      </w:r>
      <w:r>
        <w:rPr>
          <w:rFonts w:cstheme="minorHAnsi"/>
          <w:color w:val="000000" w:themeColor="text1"/>
          <w:lang w:val="en-US"/>
        </w:rPr>
        <w:t>i</w:t>
      </w:r>
      <w:r w:rsidRPr="00E81270">
        <w:rPr>
          <w:rFonts w:cstheme="minorHAnsi"/>
          <w:color w:val="000000" w:themeColor="text1"/>
          <w:lang w:val="en-US"/>
        </w:rPr>
        <w:t>n Investment Project Financing</w:t>
      </w:r>
      <w:r>
        <w:rPr>
          <w:rFonts w:cstheme="minorHAnsi"/>
          <w:color w:val="000000" w:themeColor="text1"/>
          <w:lang w:val="en-US"/>
        </w:rPr>
        <w:t>:</w:t>
      </w:r>
      <w:r w:rsidRPr="00E81270">
        <w:rPr>
          <w:rFonts w:cstheme="minorHAnsi"/>
          <w:color w:val="000000" w:themeColor="text1"/>
          <w:lang w:val="en-US"/>
        </w:rPr>
        <w:t xml:space="preserve"> Goods</w:t>
      </w:r>
      <w:r>
        <w:rPr>
          <w:rFonts w:cstheme="minorHAnsi"/>
          <w:color w:val="000000" w:themeColor="text1"/>
          <w:lang w:val="en-US"/>
        </w:rPr>
        <w:t>,</w:t>
      </w:r>
      <w:r w:rsidRPr="00E81270">
        <w:rPr>
          <w:rFonts w:cstheme="minorHAnsi"/>
          <w:color w:val="000000" w:themeColor="text1"/>
          <w:lang w:val="en-US"/>
        </w:rPr>
        <w:t xml:space="preserve"> Works</w:t>
      </w:r>
      <w:r>
        <w:rPr>
          <w:rFonts w:cstheme="minorHAnsi"/>
          <w:color w:val="000000" w:themeColor="text1"/>
          <w:lang w:val="en-US"/>
        </w:rPr>
        <w:t>,</w:t>
      </w:r>
      <w:r w:rsidRPr="00E81270">
        <w:rPr>
          <w:rFonts w:cstheme="minorHAnsi"/>
          <w:color w:val="000000" w:themeColor="text1"/>
          <w:lang w:val="en-US"/>
        </w:rPr>
        <w:t xml:space="preserve"> Non-Consulting And Consulting Services</w:t>
      </w:r>
      <w:r>
        <w:rPr>
          <w:rFonts w:cstheme="minorHAnsi"/>
          <w:color w:val="000000" w:themeColor="text1"/>
          <w:lang w:val="en-US"/>
        </w:rPr>
        <w:t>, Fourth Edition, November 2020’’</w:t>
      </w:r>
      <w:r w:rsidRPr="00440CA2">
        <w:rPr>
          <w:rFonts w:cstheme="minorHAnsi"/>
          <w:color w:val="000000" w:themeColor="text1"/>
          <w:lang w:val="en-US"/>
        </w:rPr>
        <w:t>"</w:t>
      </w:r>
      <w:r w:rsidRPr="00440CA2">
        <w:rPr>
          <w:rStyle w:val="FootnoteReference"/>
          <w:rFonts w:cstheme="minorHAnsi"/>
          <w:color w:val="000000" w:themeColor="text1"/>
          <w:lang w:val="en-US"/>
        </w:rPr>
        <w:footnoteReference w:id="1"/>
      </w:r>
      <w:r w:rsidRPr="00440CA2">
        <w:rPr>
          <w:rFonts w:cstheme="minorHAnsi"/>
          <w:color w:val="000000" w:themeColor="text1"/>
          <w:lang w:val="en-US"/>
        </w:rPr>
        <w:t xml:space="preserve"> published by the World Bank and that we comply with the provisions of this guide.</w:t>
      </w:r>
    </w:p>
    <w:p w:rsidR="00962CBF" w:rsidRDefault="00962CBF" w:rsidP="00962CBF">
      <w:pPr>
        <w:pStyle w:val="ListParagraph"/>
        <w:spacing w:after="0"/>
        <w:rPr>
          <w:rFonts w:cstheme="minorHAnsi"/>
          <w:color w:val="000000" w:themeColor="text1"/>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Pursuant to the “Law No. 5549 on the Prevention of Laundering Proceeds of Crime” and the “Regulation on Measures for the Prevention of Laundering Proceeds of Crime and the Financing of Terrorism” published for the implementation of this Law, and other relevant legislation, in the establishment of a continuous business relationship with your Bank and on our behalf in our transactions</w:t>
      </w:r>
      <w:r>
        <w:rPr>
          <w:rFonts w:cstheme="minorHAnsi"/>
          <w:color w:val="000000" w:themeColor="text1"/>
          <w:lang w:val="en-US"/>
        </w:rPr>
        <w:t>; w</w:t>
      </w:r>
      <w:r w:rsidRPr="00B631E9">
        <w:rPr>
          <w:rFonts w:cstheme="minorHAnsi"/>
          <w:color w:val="000000" w:themeColor="text1"/>
          <w:lang w:val="en-US"/>
        </w:rPr>
        <w:t xml:space="preserve">e agree, declare and undertake to notify your Bank in writing that we act on our own </w:t>
      </w:r>
      <w:r w:rsidRPr="00B631E9">
        <w:rPr>
          <w:rFonts w:cstheme="minorHAnsi"/>
          <w:color w:val="000000" w:themeColor="text1"/>
          <w:lang w:val="en-US"/>
        </w:rPr>
        <w:lastRenderedPageBreak/>
        <w:t>account</w:t>
      </w:r>
      <w:r>
        <w:rPr>
          <w:rFonts w:cstheme="minorHAnsi"/>
          <w:color w:val="000000" w:themeColor="text1"/>
          <w:lang w:val="en-US"/>
        </w:rPr>
        <w:t>,</w:t>
      </w:r>
      <w:r w:rsidRPr="00B631E9">
        <w:rPr>
          <w:rFonts w:cstheme="minorHAnsi"/>
          <w:color w:val="000000" w:themeColor="text1"/>
          <w:lang w:val="en-US"/>
        </w:rPr>
        <w:t xml:space="preserve"> that we do not act on behalf of someone else, if we act on our own behalf but on </w:t>
      </w:r>
      <w:r>
        <w:rPr>
          <w:rFonts w:cstheme="minorHAnsi"/>
          <w:color w:val="000000" w:themeColor="text1"/>
          <w:lang w:val="en-US"/>
        </w:rPr>
        <w:t xml:space="preserve">account </w:t>
      </w:r>
      <w:r w:rsidRPr="00B631E9">
        <w:rPr>
          <w:rFonts w:cstheme="minorHAnsi"/>
          <w:color w:val="000000" w:themeColor="text1"/>
          <w:lang w:val="en-US"/>
        </w:rPr>
        <w:t xml:space="preserve">of someone else, </w:t>
      </w:r>
      <w:r>
        <w:rPr>
          <w:rFonts w:cstheme="minorHAnsi"/>
          <w:color w:val="000000" w:themeColor="text1"/>
          <w:lang w:val="en-US"/>
        </w:rPr>
        <w:t>w</w:t>
      </w:r>
      <w:r w:rsidRPr="00B631E9">
        <w:rPr>
          <w:rFonts w:cstheme="minorHAnsi"/>
          <w:color w:val="000000" w:themeColor="text1"/>
          <w:lang w:val="en-US"/>
        </w:rPr>
        <w:t xml:space="preserve">e agree, declare and undertake to notify your Bank whose account we act, </w:t>
      </w:r>
      <w:r>
        <w:rPr>
          <w:rFonts w:cstheme="minorHAnsi"/>
          <w:color w:val="000000" w:themeColor="text1"/>
          <w:lang w:val="en-US"/>
        </w:rPr>
        <w:t>our</w:t>
      </w:r>
      <w:r w:rsidRPr="00B631E9">
        <w:rPr>
          <w:rFonts w:cstheme="minorHAnsi"/>
          <w:color w:val="000000" w:themeColor="text1"/>
          <w:lang w:val="en-US"/>
        </w:rPr>
        <w:t xml:space="preserve"> authorization status and the identity of the person on whose account we act.</w:t>
      </w:r>
    </w:p>
    <w:p w:rsidR="00962CBF" w:rsidRPr="00B631E9" w:rsidRDefault="00962CBF" w:rsidP="00962CBF">
      <w:pPr>
        <w:pStyle w:val="ListParagraph"/>
        <w:spacing w:after="0"/>
        <w:rPr>
          <w:rFonts w:cstheme="minorHAnsi"/>
          <w:color w:val="000000" w:themeColor="text1"/>
        </w:rPr>
      </w:pPr>
    </w:p>
    <w:p w:rsidR="00962CBF"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sidRPr="00B631E9">
        <w:rPr>
          <w:rFonts w:cstheme="minorHAnsi"/>
          <w:color w:val="000000" w:themeColor="text1"/>
          <w:lang w:val="en-US"/>
        </w:rPr>
        <w:t>The applicant has the sources of financing and professional competence and qualifications specified in the Sub-Grant Program.</w:t>
      </w:r>
    </w:p>
    <w:p w:rsidR="00962CBF" w:rsidRPr="000417DC" w:rsidRDefault="00962CBF" w:rsidP="0096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cstheme="minorHAnsi"/>
          <w:color w:val="000000" w:themeColor="text1"/>
          <w:lang w:val="en-US"/>
        </w:rPr>
      </w:pPr>
    </w:p>
    <w:p w:rsidR="00962CBF" w:rsidRPr="00B631E9" w:rsidRDefault="00962CBF" w:rsidP="00962C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lang w:val="en-US"/>
        </w:rPr>
      </w:pPr>
      <w:r>
        <w:rPr>
          <w:rFonts w:cstheme="minorHAnsi"/>
          <w:color w:val="000000" w:themeColor="text1"/>
          <w:lang w:val="en-US"/>
        </w:rPr>
        <w:t>The applicant cannot</w:t>
      </w:r>
      <w:r w:rsidRPr="00E05289">
        <w:rPr>
          <w:rFonts w:cstheme="minorHAnsi"/>
          <w:color w:val="000000" w:themeColor="text1"/>
          <w:lang w:val="en-US"/>
        </w:rPr>
        <w:t xml:space="preserve"> receive any loan </w:t>
      </w:r>
      <w:r>
        <w:rPr>
          <w:rFonts w:cstheme="minorHAnsi"/>
          <w:color w:val="000000" w:themeColor="text1"/>
          <w:lang w:val="en-US"/>
        </w:rPr>
        <w:t>within the scope of the loan co</w:t>
      </w:r>
      <w:r w:rsidRPr="00E05289">
        <w:rPr>
          <w:rFonts w:cstheme="minorHAnsi"/>
          <w:color w:val="000000" w:themeColor="text1"/>
          <w:lang w:val="en-US"/>
        </w:rPr>
        <w:t>mponent of the Formal Employment Creation Project</w:t>
      </w:r>
      <w:r>
        <w:rPr>
          <w:rFonts w:cstheme="minorHAnsi"/>
          <w:color w:val="000000" w:themeColor="text1"/>
          <w:lang w:val="en-US"/>
        </w:rPr>
        <w:t>.</w:t>
      </w:r>
    </w:p>
    <w:p w:rsidR="00962CBF" w:rsidRPr="00B631E9" w:rsidRDefault="00962CBF" w:rsidP="0096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color w:val="000000" w:themeColor="text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3"/>
        <w:gridCol w:w="4797"/>
      </w:tblGrid>
      <w:tr w:rsidR="00962CBF" w:rsidRPr="00B631E9" w:rsidTr="00CA4F6E">
        <w:tc>
          <w:tcPr>
            <w:tcW w:w="2435" w:type="pct"/>
            <w:shd w:val="clear" w:color="auto" w:fill="D9E2F3" w:themeFill="accent5" w:themeFillTint="33"/>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r w:rsidRPr="00B631E9">
              <w:rPr>
                <w:rFonts w:eastAsia="Times New Roman" w:cs="Times New Roman"/>
                <w:color w:val="000000" w:themeColor="text1"/>
                <w:lang w:val="en-US" w:eastAsia="ro-RO"/>
              </w:rPr>
              <w:t>Name (Responsible Authority of the Applicant)</w:t>
            </w:r>
          </w:p>
        </w:tc>
        <w:tc>
          <w:tcPr>
            <w:tcW w:w="2565" w:type="pct"/>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p>
        </w:tc>
      </w:tr>
      <w:tr w:rsidR="00962CBF" w:rsidRPr="00B631E9" w:rsidTr="00CA4F6E">
        <w:tc>
          <w:tcPr>
            <w:tcW w:w="2435" w:type="pct"/>
            <w:shd w:val="clear" w:color="auto" w:fill="D9E2F3" w:themeFill="accent5" w:themeFillTint="33"/>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r w:rsidRPr="00B631E9">
              <w:rPr>
                <w:rFonts w:eastAsia="Times New Roman" w:cs="Times New Roman"/>
                <w:color w:val="000000" w:themeColor="text1"/>
                <w:lang w:val="en-US" w:eastAsia="ro-RO"/>
              </w:rPr>
              <w:t>Position</w:t>
            </w:r>
          </w:p>
        </w:tc>
        <w:tc>
          <w:tcPr>
            <w:tcW w:w="2565" w:type="pct"/>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p>
        </w:tc>
      </w:tr>
      <w:tr w:rsidR="00962CBF" w:rsidRPr="00B631E9" w:rsidTr="00CA4F6E">
        <w:tc>
          <w:tcPr>
            <w:tcW w:w="2435" w:type="pct"/>
            <w:shd w:val="clear" w:color="auto" w:fill="D9E2F3" w:themeFill="accent5" w:themeFillTint="33"/>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r w:rsidRPr="00B631E9">
              <w:rPr>
                <w:rFonts w:eastAsia="Times New Roman" w:cs="Times New Roman"/>
                <w:color w:val="000000" w:themeColor="text1"/>
                <w:lang w:val="en-US" w:eastAsia="ro-RO"/>
              </w:rPr>
              <w:t>Signature</w:t>
            </w:r>
          </w:p>
        </w:tc>
        <w:tc>
          <w:tcPr>
            <w:tcW w:w="2565" w:type="pct"/>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p>
        </w:tc>
      </w:tr>
      <w:tr w:rsidR="00962CBF" w:rsidRPr="00B631E9" w:rsidTr="00CA4F6E">
        <w:tc>
          <w:tcPr>
            <w:tcW w:w="2435" w:type="pct"/>
            <w:shd w:val="clear" w:color="auto" w:fill="D9E2F3" w:themeFill="accent5" w:themeFillTint="33"/>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r w:rsidRPr="00B631E9">
              <w:rPr>
                <w:rFonts w:eastAsia="Times New Roman" w:cs="Times New Roman"/>
                <w:color w:val="000000" w:themeColor="text1"/>
                <w:lang w:val="en-US" w:eastAsia="ro-RO"/>
              </w:rPr>
              <w:t>Stamp</w:t>
            </w:r>
          </w:p>
        </w:tc>
        <w:tc>
          <w:tcPr>
            <w:tcW w:w="2565" w:type="pct"/>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p>
        </w:tc>
      </w:tr>
      <w:tr w:rsidR="00962CBF" w:rsidRPr="00B631E9" w:rsidTr="00CA4F6E">
        <w:tc>
          <w:tcPr>
            <w:tcW w:w="2435" w:type="pct"/>
            <w:shd w:val="clear" w:color="auto" w:fill="D9E2F3" w:themeFill="accent5" w:themeFillTint="33"/>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r w:rsidRPr="00B631E9">
              <w:rPr>
                <w:rFonts w:eastAsia="Times New Roman" w:cs="Times New Roman"/>
                <w:color w:val="000000" w:themeColor="text1"/>
                <w:lang w:val="en-US" w:eastAsia="ro-RO"/>
              </w:rPr>
              <w:t>Date and Place</w:t>
            </w:r>
          </w:p>
        </w:tc>
        <w:tc>
          <w:tcPr>
            <w:tcW w:w="2565" w:type="pct"/>
          </w:tcPr>
          <w:p w:rsidR="00962CBF" w:rsidRPr="00B631E9" w:rsidRDefault="00962CBF" w:rsidP="00CA4F6E">
            <w:pPr>
              <w:spacing w:before="140" w:after="140" w:line="240" w:lineRule="auto"/>
              <w:jc w:val="both"/>
              <w:rPr>
                <w:rFonts w:eastAsia="Times New Roman" w:cs="Times New Roman"/>
                <w:color w:val="000000" w:themeColor="text1"/>
                <w:lang w:val="en-US" w:eastAsia="ro-RO"/>
              </w:rPr>
            </w:pPr>
          </w:p>
        </w:tc>
      </w:tr>
    </w:tbl>
    <w:p w:rsidR="00962CBF" w:rsidRDefault="00962CBF" w:rsidP="00962CBF">
      <w:pPr>
        <w:ind w:left="360"/>
        <w:jc w:val="both"/>
        <w:rPr>
          <w:b/>
          <w:sz w:val="24"/>
          <w:lang w:val="en-US"/>
        </w:rPr>
      </w:pPr>
    </w:p>
    <w:p w:rsidR="00962CBF" w:rsidRDefault="00962CBF" w:rsidP="00962CBF">
      <w:pPr>
        <w:ind w:left="360"/>
        <w:jc w:val="both"/>
        <w:rPr>
          <w:b/>
          <w:sz w:val="24"/>
          <w:lang w:val="en-US"/>
        </w:rPr>
      </w:pPr>
    </w:p>
    <w:p w:rsidR="00FD5361" w:rsidRDefault="00BF608E"/>
    <w:sectPr w:rsidR="00FD53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8E" w:rsidRDefault="00BF608E" w:rsidP="00962CBF">
      <w:pPr>
        <w:spacing w:after="0" w:line="240" w:lineRule="auto"/>
      </w:pPr>
      <w:r>
        <w:separator/>
      </w:r>
    </w:p>
  </w:endnote>
  <w:endnote w:type="continuationSeparator" w:id="0">
    <w:p w:rsidR="00BF608E" w:rsidRDefault="00BF608E" w:rsidP="0096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8E" w:rsidRDefault="00BF608E" w:rsidP="00962CBF">
      <w:pPr>
        <w:spacing w:after="0" w:line="240" w:lineRule="auto"/>
      </w:pPr>
      <w:r>
        <w:separator/>
      </w:r>
    </w:p>
  </w:footnote>
  <w:footnote w:type="continuationSeparator" w:id="0">
    <w:p w:rsidR="00BF608E" w:rsidRDefault="00BF608E" w:rsidP="00962CBF">
      <w:pPr>
        <w:spacing w:after="0" w:line="240" w:lineRule="auto"/>
      </w:pPr>
      <w:r>
        <w:continuationSeparator/>
      </w:r>
    </w:p>
  </w:footnote>
  <w:footnote w:id="1">
    <w:p w:rsidR="00962CBF" w:rsidRPr="00395F44" w:rsidRDefault="00962CBF" w:rsidP="00962CBF">
      <w:pPr>
        <w:pStyle w:val="FootnoteText"/>
        <w:rPr>
          <w:lang w:val="tr-TR"/>
        </w:rPr>
      </w:pPr>
      <w:r>
        <w:rPr>
          <w:rStyle w:val="FootnoteReference"/>
        </w:rPr>
        <w:footnoteRef/>
      </w:r>
      <w:r>
        <w:t xml:space="preserve"> </w:t>
      </w:r>
      <w:proofErr w:type="spellStart"/>
      <w:r>
        <w:rPr>
          <w:lang w:val="tr-TR"/>
        </w:rPr>
        <w:t>Please</w:t>
      </w:r>
      <w:proofErr w:type="spellEnd"/>
      <w:r>
        <w:rPr>
          <w:lang w:val="tr-TR"/>
        </w:rPr>
        <w:t xml:space="preserve"> </w:t>
      </w:r>
      <w:proofErr w:type="spellStart"/>
      <w:r>
        <w:rPr>
          <w:lang w:val="tr-TR"/>
        </w:rPr>
        <w:t>see</w:t>
      </w:r>
      <w:proofErr w:type="spellEnd"/>
      <w:r>
        <w:rPr>
          <w:lang w:val="tr-TR"/>
        </w:rPr>
        <w:t xml:space="preserve"> </w:t>
      </w:r>
      <w:r w:rsidRPr="00E81270">
        <w:rPr>
          <w:lang w:val="tr-TR"/>
        </w:rPr>
        <w:t>https://thedocs.worldbank.org/en/doc/178331533065871195-0290022020/original/ProcurementRegulations.pdf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A52F8"/>
    <w:multiLevelType w:val="hybridMultilevel"/>
    <w:tmpl w:val="236C44E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6800811"/>
    <w:multiLevelType w:val="multilevel"/>
    <w:tmpl w:val="E0688C5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646"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1D"/>
    <w:rsid w:val="001831F2"/>
    <w:rsid w:val="005B2F1D"/>
    <w:rsid w:val="008B5D9D"/>
    <w:rsid w:val="00962CBF"/>
    <w:rsid w:val="00A92C0D"/>
    <w:rsid w:val="00AD64EF"/>
    <w:rsid w:val="00BC3512"/>
    <w:rsid w:val="00BF608E"/>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49EF"/>
  <w15:chartTrackingRefBased/>
  <w15:docId w15:val="{411779AA-B59A-48C7-928C-CD344BA7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962CBF"/>
    <w:pPr>
      <w:ind w:left="720"/>
      <w:contextualSpacing/>
    </w:pPr>
    <w:rPr>
      <w:lang w:val="en-US"/>
    </w:rPr>
  </w:style>
  <w:style w:type="character" w:styleId="FootnoteReference">
    <w:name w:val="footnote reference"/>
    <w:aliases w:val="(NECG) Footnote Reference,16 Point,Footnote Ref in FtNote,Footnote Reference Number,Footnote Reference_LVL6,Footnote Reference_LVL61,Footnote Reference_LVL62,Ref,Superscript 6 Point,de nota al pie,footnote ref,fr,ftref,Знак сноски-FN"/>
    <w:link w:val="CarattereCarattereCharCharCharCharCharCharZchn"/>
    <w:unhideWhenUsed/>
    <w:qFormat/>
    <w:rsid w:val="00962CBF"/>
    <w:rPr>
      <w:vertAlign w:val="superscript"/>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962CBF"/>
    <w:rPr>
      <w:lang w:val="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962CBF"/>
    <w:pPr>
      <w:spacing w:line="240" w:lineRule="exact"/>
    </w:pPr>
    <w:rPr>
      <w:vertAlign w:val="superscript"/>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single space Char Char"/>
    <w:basedOn w:val="Normal"/>
    <w:link w:val="FootnoteTextChar"/>
    <w:uiPriority w:val="99"/>
    <w:unhideWhenUsed/>
    <w:qFormat/>
    <w:rsid w:val="00962CBF"/>
    <w:pPr>
      <w:widowControl w:val="0"/>
      <w:autoSpaceDE w:val="0"/>
      <w:autoSpaceDN w:val="0"/>
      <w:adjustRightInd w:val="0"/>
      <w:spacing w:after="0" w:line="240" w:lineRule="auto"/>
    </w:pPr>
    <w:rPr>
      <w:rFonts w:eastAsiaTheme="minorEastAsia" w:cs="Arial"/>
      <w:color w:val="000000"/>
      <w:sz w:val="18"/>
      <w:szCs w:val="20"/>
      <w:lang w:val="en-US"/>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962CBF"/>
    <w:rPr>
      <w:rFonts w:eastAsiaTheme="minorEastAsia" w:cs="Arial"/>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Company>Kalkınma Yatırım Bankası</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Eren Düşgün</cp:lastModifiedBy>
  <cp:revision>2</cp:revision>
  <dcterms:created xsi:type="dcterms:W3CDTF">2021-12-17T08:24:00Z</dcterms:created>
  <dcterms:modified xsi:type="dcterms:W3CDTF">2021-12-17T08:24:00Z</dcterms:modified>
</cp:coreProperties>
</file>