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659" w:rsidRPr="002B1ACE" w:rsidRDefault="00ED1659" w:rsidP="00ED1659">
      <w:pPr>
        <w:spacing w:line="240" w:lineRule="auto"/>
        <w:jc w:val="center"/>
        <w:rPr>
          <w:rFonts w:eastAsia="Calibri" w:cs="Times New Roman"/>
          <w:b/>
          <w:sz w:val="24"/>
          <w:szCs w:val="24"/>
        </w:rPr>
      </w:pPr>
      <w:r w:rsidRPr="002B1ACE">
        <w:rPr>
          <w:rFonts w:eastAsia="Calibri" w:cs="Times New Roman"/>
          <w:b/>
          <w:sz w:val="24"/>
          <w:szCs w:val="24"/>
        </w:rPr>
        <w:t>EXCLUSION LIST STATEMENT</w:t>
      </w:r>
    </w:p>
    <w:p w:rsidR="00ED1659" w:rsidRPr="000A2CC0" w:rsidRDefault="00ED1659" w:rsidP="00840324">
      <w:pPr>
        <w:widowControl w:val="0"/>
        <w:autoSpaceDE w:val="0"/>
        <w:autoSpaceDN w:val="0"/>
        <w:adjustRightInd w:val="0"/>
        <w:spacing w:line="276" w:lineRule="auto"/>
        <w:jc w:val="both"/>
        <w:rPr>
          <w:rFonts w:cstheme="minorHAnsi"/>
          <w:bCs/>
          <w:color w:val="000000" w:themeColor="text1"/>
          <w:lang w:val="en-US"/>
        </w:rPr>
      </w:pPr>
      <w:r>
        <w:rPr>
          <w:rFonts w:cstheme="minorHAnsi"/>
          <w:lang w:val="en-US"/>
        </w:rPr>
        <w:t>W</w:t>
      </w:r>
      <w:r w:rsidRPr="000A2CC0">
        <w:rPr>
          <w:rFonts w:cstheme="minorHAnsi"/>
          <w:lang w:val="en-US"/>
        </w:rPr>
        <w:t xml:space="preserve">e declare that </w:t>
      </w:r>
      <w:r w:rsidRPr="000A2CC0">
        <w:rPr>
          <w:rFonts w:cstheme="minorHAnsi"/>
          <w:bCs/>
          <w:color w:val="000000" w:themeColor="text1"/>
          <w:lang w:val="en-US"/>
        </w:rPr>
        <w:t>the product/technology subject to our Sub-project Application is not listed</w:t>
      </w:r>
      <w:r>
        <w:rPr>
          <w:rFonts w:cstheme="minorHAnsi"/>
          <w:bCs/>
          <w:color w:val="000000" w:themeColor="text1"/>
          <w:lang w:val="en-US"/>
        </w:rPr>
        <w:t xml:space="preserve"> on the World Bank’s Exclusion List and</w:t>
      </w:r>
      <w:r w:rsidRPr="000A2CC0">
        <w:rPr>
          <w:rFonts w:cstheme="minorHAnsi"/>
          <w:bCs/>
          <w:color w:val="000000" w:themeColor="text1"/>
          <w:lang w:val="en-US"/>
        </w:rPr>
        <w:t xml:space="preserve"> present the required </w:t>
      </w:r>
      <w:r>
        <w:rPr>
          <w:rFonts w:cstheme="minorHAnsi"/>
          <w:bCs/>
          <w:color w:val="000000" w:themeColor="text1"/>
          <w:lang w:val="en-US"/>
        </w:rPr>
        <w:t>supporting</w:t>
      </w:r>
      <w:r w:rsidRPr="000A2CC0">
        <w:rPr>
          <w:rFonts w:cstheme="minorHAnsi"/>
          <w:bCs/>
          <w:color w:val="000000" w:themeColor="text1"/>
          <w:lang w:val="en-US"/>
        </w:rPr>
        <w:t xml:space="preserve"> documents </w:t>
      </w:r>
      <w:r>
        <w:rPr>
          <w:rFonts w:cstheme="minorHAnsi"/>
          <w:bCs/>
          <w:color w:val="000000" w:themeColor="text1"/>
          <w:lang w:val="en-US"/>
        </w:rPr>
        <w:t>in the Enviro</w:t>
      </w:r>
      <w:r>
        <w:rPr>
          <w:rFonts w:cstheme="minorHAnsi"/>
          <w:bCs/>
          <w:color w:val="000000" w:themeColor="text1"/>
          <w:lang w:val="en-US"/>
        </w:rPr>
        <w:t>n</w:t>
      </w:r>
      <w:r>
        <w:rPr>
          <w:rFonts w:cstheme="minorHAnsi"/>
          <w:bCs/>
          <w:color w:val="000000" w:themeColor="text1"/>
          <w:lang w:val="en-US"/>
        </w:rPr>
        <w:t>mental and Social Assessment (Please find more informati</w:t>
      </w:r>
      <w:bookmarkStart w:id="0" w:name="_GoBack"/>
      <w:bookmarkEnd w:id="0"/>
      <w:r>
        <w:rPr>
          <w:rFonts w:cstheme="minorHAnsi"/>
          <w:bCs/>
          <w:color w:val="000000" w:themeColor="text1"/>
          <w:lang w:val="en-US"/>
        </w:rPr>
        <w:t>on in the Application Guideline)</w:t>
      </w:r>
      <w:r w:rsidRPr="000A2CC0">
        <w:rPr>
          <w:rFonts w:cstheme="minorHAnsi"/>
          <w:bCs/>
          <w:color w:val="000000" w:themeColor="text1"/>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4819"/>
      </w:tblGrid>
      <w:tr w:rsidR="00ED1659" w:rsidRPr="000A2CC0" w:rsidTr="00840324">
        <w:trPr>
          <w:trHeight w:val="26"/>
        </w:trPr>
        <w:tc>
          <w:tcPr>
            <w:tcW w:w="2423" w:type="pct"/>
            <w:shd w:val="clear" w:color="auto" w:fill="DEEAF6" w:themeFill="accent1" w:themeFillTint="33"/>
            <w:vAlign w:val="center"/>
          </w:tcPr>
          <w:p w:rsidR="00ED1659" w:rsidRPr="000A2CC0" w:rsidRDefault="00ED1659" w:rsidP="00840324">
            <w:pPr>
              <w:spacing w:after="0" w:line="276" w:lineRule="auto"/>
              <w:jc w:val="both"/>
              <w:rPr>
                <w:rFonts w:eastAsia="Times New Roman" w:cs="Times New Roman"/>
                <w:lang w:val="en-US" w:eastAsia="ro-RO"/>
              </w:rPr>
            </w:pPr>
            <w:r w:rsidRPr="000A2CC0">
              <w:rPr>
                <w:rFonts w:eastAsia="Times New Roman" w:cs="Times New Roman"/>
                <w:lang w:val="en-US" w:eastAsia="ro-RO"/>
              </w:rPr>
              <w:t xml:space="preserve">Name </w:t>
            </w:r>
            <w:r w:rsidRPr="000A2CC0">
              <w:rPr>
                <w:rFonts w:eastAsia="Times New Roman" w:cs="Times New Roman"/>
                <w:color w:val="000000" w:themeColor="text1"/>
                <w:lang w:val="en-US" w:eastAsia="ro-RO"/>
              </w:rPr>
              <w:t>(Responsible Authority of the Applicant)</w:t>
            </w:r>
          </w:p>
        </w:tc>
        <w:tc>
          <w:tcPr>
            <w:tcW w:w="2577" w:type="pct"/>
            <w:shd w:val="clear" w:color="auto" w:fill="auto"/>
            <w:vAlign w:val="center"/>
          </w:tcPr>
          <w:p w:rsidR="00ED1659" w:rsidRPr="000A2CC0" w:rsidRDefault="00ED1659" w:rsidP="00840324">
            <w:pPr>
              <w:spacing w:after="0" w:line="276" w:lineRule="auto"/>
              <w:jc w:val="both"/>
              <w:rPr>
                <w:rFonts w:eastAsia="Times New Roman" w:cs="Times New Roman"/>
                <w:lang w:val="en-US" w:eastAsia="ro-RO"/>
              </w:rPr>
            </w:pPr>
          </w:p>
        </w:tc>
      </w:tr>
      <w:tr w:rsidR="00ED1659" w:rsidRPr="000A2CC0" w:rsidTr="00840324">
        <w:trPr>
          <w:trHeight w:val="25"/>
        </w:trPr>
        <w:tc>
          <w:tcPr>
            <w:tcW w:w="2423" w:type="pct"/>
            <w:shd w:val="clear" w:color="auto" w:fill="DEEAF6" w:themeFill="accent1" w:themeFillTint="33"/>
            <w:vAlign w:val="center"/>
          </w:tcPr>
          <w:p w:rsidR="00ED1659" w:rsidRPr="000A2CC0" w:rsidRDefault="00ED1659" w:rsidP="00840324">
            <w:pPr>
              <w:spacing w:after="0" w:line="276" w:lineRule="auto"/>
              <w:jc w:val="both"/>
              <w:rPr>
                <w:rFonts w:eastAsia="Times New Roman" w:cs="Times New Roman"/>
                <w:lang w:val="en-US" w:eastAsia="ro-RO"/>
              </w:rPr>
            </w:pPr>
            <w:r w:rsidRPr="000A2CC0">
              <w:rPr>
                <w:rFonts w:eastAsia="Times New Roman" w:cs="Times New Roman"/>
                <w:lang w:val="en-US" w:eastAsia="ro-RO"/>
              </w:rPr>
              <w:t>Position</w:t>
            </w:r>
          </w:p>
        </w:tc>
        <w:tc>
          <w:tcPr>
            <w:tcW w:w="2577" w:type="pct"/>
            <w:shd w:val="clear" w:color="auto" w:fill="auto"/>
            <w:vAlign w:val="center"/>
          </w:tcPr>
          <w:p w:rsidR="00ED1659" w:rsidRPr="000A2CC0" w:rsidRDefault="00ED1659" w:rsidP="00840324">
            <w:pPr>
              <w:spacing w:after="0" w:line="276" w:lineRule="auto"/>
              <w:jc w:val="both"/>
              <w:rPr>
                <w:rFonts w:eastAsia="Times New Roman" w:cs="Times New Roman"/>
                <w:lang w:val="en-US" w:eastAsia="ro-RO"/>
              </w:rPr>
            </w:pPr>
          </w:p>
        </w:tc>
      </w:tr>
      <w:tr w:rsidR="00ED1659" w:rsidRPr="000A2CC0" w:rsidTr="00840324">
        <w:trPr>
          <w:trHeight w:val="26"/>
        </w:trPr>
        <w:tc>
          <w:tcPr>
            <w:tcW w:w="2423" w:type="pct"/>
            <w:shd w:val="clear" w:color="auto" w:fill="DEEAF6" w:themeFill="accent1" w:themeFillTint="33"/>
            <w:vAlign w:val="center"/>
          </w:tcPr>
          <w:p w:rsidR="00ED1659" w:rsidRPr="000A2CC0" w:rsidRDefault="00ED1659" w:rsidP="00840324">
            <w:pPr>
              <w:spacing w:after="0" w:line="276" w:lineRule="auto"/>
              <w:jc w:val="both"/>
              <w:rPr>
                <w:rFonts w:eastAsia="Times New Roman" w:cs="Times New Roman"/>
                <w:lang w:val="en-US" w:eastAsia="ro-RO"/>
              </w:rPr>
            </w:pPr>
            <w:r w:rsidRPr="000A2CC0">
              <w:rPr>
                <w:rFonts w:eastAsia="Times New Roman" w:cs="Times New Roman"/>
                <w:lang w:val="en-US" w:eastAsia="ro-RO"/>
              </w:rPr>
              <w:t>Signature</w:t>
            </w:r>
          </w:p>
        </w:tc>
        <w:tc>
          <w:tcPr>
            <w:tcW w:w="2577" w:type="pct"/>
            <w:shd w:val="clear" w:color="auto" w:fill="auto"/>
            <w:vAlign w:val="center"/>
          </w:tcPr>
          <w:p w:rsidR="00ED1659" w:rsidRPr="000A2CC0" w:rsidRDefault="00ED1659" w:rsidP="00840324">
            <w:pPr>
              <w:spacing w:after="0" w:line="276" w:lineRule="auto"/>
              <w:jc w:val="both"/>
              <w:rPr>
                <w:rFonts w:eastAsia="Times New Roman" w:cs="Times New Roman"/>
                <w:lang w:val="en-US" w:eastAsia="ro-RO"/>
              </w:rPr>
            </w:pPr>
          </w:p>
        </w:tc>
      </w:tr>
      <w:tr w:rsidR="00ED1659" w:rsidRPr="000A2CC0" w:rsidTr="00840324">
        <w:trPr>
          <w:trHeight w:val="26"/>
        </w:trPr>
        <w:tc>
          <w:tcPr>
            <w:tcW w:w="2423" w:type="pct"/>
            <w:shd w:val="clear" w:color="auto" w:fill="DEEAF6" w:themeFill="accent1" w:themeFillTint="33"/>
            <w:vAlign w:val="center"/>
          </w:tcPr>
          <w:p w:rsidR="00ED1659" w:rsidRPr="000A2CC0" w:rsidRDefault="00ED1659" w:rsidP="00840324">
            <w:pPr>
              <w:spacing w:after="0" w:line="276" w:lineRule="auto"/>
              <w:jc w:val="both"/>
              <w:rPr>
                <w:rFonts w:eastAsia="Times New Roman" w:cs="Times New Roman"/>
                <w:lang w:val="en-US" w:eastAsia="ro-RO"/>
              </w:rPr>
            </w:pPr>
            <w:r w:rsidRPr="000A2CC0">
              <w:rPr>
                <w:rFonts w:eastAsia="Times New Roman" w:cs="Times New Roman"/>
                <w:lang w:val="en-US" w:eastAsia="ro-RO"/>
              </w:rPr>
              <w:t>Stamp</w:t>
            </w:r>
          </w:p>
        </w:tc>
        <w:tc>
          <w:tcPr>
            <w:tcW w:w="2577" w:type="pct"/>
            <w:shd w:val="clear" w:color="auto" w:fill="auto"/>
            <w:vAlign w:val="center"/>
          </w:tcPr>
          <w:p w:rsidR="00ED1659" w:rsidRPr="000A2CC0" w:rsidRDefault="00ED1659" w:rsidP="00840324">
            <w:pPr>
              <w:spacing w:after="0" w:line="276" w:lineRule="auto"/>
              <w:jc w:val="both"/>
              <w:rPr>
                <w:rFonts w:eastAsia="Times New Roman" w:cs="Times New Roman"/>
                <w:lang w:val="en-US" w:eastAsia="ro-RO"/>
              </w:rPr>
            </w:pPr>
          </w:p>
        </w:tc>
      </w:tr>
      <w:tr w:rsidR="00ED1659" w:rsidRPr="000A2CC0" w:rsidTr="00840324">
        <w:trPr>
          <w:trHeight w:val="343"/>
        </w:trPr>
        <w:tc>
          <w:tcPr>
            <w:tcW w:w="2423" w:type="pct"/>
            <w:shd w:val="clear" w:color="auto" w:fill="DEEAF6" w:themeFill="accent1" w:themeFillTint="33"/>
            <w:vAlign w:val="center"/>
          </w:tcPr>
          <w:p w:rsidR="00ED1659" w:rsidRPr="000A2CC0" w:rsidRDefault="00ED1659" w:rsidP="00840324">
            <w:pPr>
              <w:spacing w:after="0" w:line="276" w:lineRule="auto"/>
              <w:jc w:val="both"/>
              <w:rPr>
                <w:rFonts w:eastAsia="Times New Roman" w:cs="Times New Roman"/>
                <w:lang w:val="en-US" w:eastAsia="ro-RO"/>
              </w:rPr>
            </w:pPr>
            <w:r w:rsidRPr="000A2CC0">
              <w:rPr>
                <w:rFonts w:eastAsia="Times New Roman" w:cs="Times New Roman"/>
                <w:lang w:val="en-US" w:eastAsia="ro-RO"/>
              </w:rPr>
              <w:t>Date and Place</w:t>
            </w:r>
          </w:p>
        </w:tc>
        <w:tc>
          <w:tcPr>
            <w:tcW w:w="2577" w:type="pct"/>
            <w:shd w:val="clear" w:color="auto" w:fill="auto"/>
            <w:vAlign w:val="center"/>
          </w:tcPr>
          <w:p w:rsidR="00ED1659" w:rsidRPr="000A2CC0" w:rsidRDefault="00ED1659" w:rsidP="00840324">
            <w:pPr>
              <w:spacing w:after="0" w:line="276" w:lineRule="auto"/>
              <w:jc w:val="both"/>
              <w:rPr>
                <w:rFonts w:eastAsia="Times New Roman" w:cs="Times New Roman"/>
                <w:lang w:val="en-US" w:eastAsia="ro-RO"/>
              </w:rPr>
            </w:pPr>
          </w:p>
        </w:tc>
      </w:tr>
    </w:tbl>
    <w:p w:rsidR="00ED1659" w:rsidRPr="00072234" w:rsidRDefault="00ED1659" w:rsidP="00ED1659">
      <w:pPr>
        <w:spacing w:after="0"/>
        <w:jc w:val="both"/>
        <w:rPr>
          <w:rFonts w:cstheme="minorHAnsi"/>
          <w:bCs/>
          <w:color w:val="000000" w:themeColor="text1"/>
          <w:szCs w:val="24"/>
          <w:lang w:val="en-US"/>
        </w:rPr>
      </w:pPr>
    </w:p>
    <w:tbl>
      <w:tblPr>
        <w:tblW w:w="5000" w:type="pct"/>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44"/>
      </w:tblGrid>
      <w:tr w:rsidR="00ED1659" w:rsidRPr="00515762" w:rsidTr="00CA4F6E">
        <w:trPr>
          <w:tblCellSpacing w:w="1440" w:type="nil"/>
        </w:trPr>
        <w:tc>
          <w:tcPr>
            <w:tcW w:w="5000" w:type="pct"/>
            <w:shd w:val="clear" w:color="auto" w:fill="auto"/>
          </w:tcPr>
          <w:p w:rsidR="00ED1659" w:rsidRPr="00072234" w:rsidRDefault="00ED1659" w:rsidP="00CA4F6E">
            <w:pPr>
              <w:jc w:val="both"/>
              <w:rPr>
                <w:i/>
                <w:sz w:val="20"/>
                <w:lang w:val="en-US"/>
              </w:rPr>
            </w:pPr>
            <w:r w:rsidRPr="00072234">
              <w:rPr>
                <w:i/>
                <w:sz w:val="20"/>
                <w:lang w:val="en-US"/>
              </w:rPr>
              <w:t>The activities of the applicant must be outside the scope of the TKYB environmental and social exclusion list. Accordingly, the applicant must declare in the next section about of awareness of the exclusion list of TKYB and World Bank (</w:t>
            </w:r>
            <w:hyperlink r:id="rId8" w:history="1">
              <w:r w:rsidRPr="00072234">
                <w:rPr>
                  <w:i/>
                  <w:color w:val="0563C1" w:themeColor="hyperlink"/>
                  <w:sz w:val="20"/>
                  <w:u w:val="single"/>
                  <w:lang w:val="en-US"/>
                </w:rPr>
                <w:t>http://www.ifc.org/exclusionlist</w:t>
              </w:r>
            </w:hyperlink>
            <w:r w:rsidRPr="00072234">
              <w:rPr>
                <w:i/>
                <w:sz w:val="20"/>
                <w:lang w:val="en-US"/>
              </w:rPr>
              <w:t>)</w:t>
            </w:r>
            <w:r>
              <w:rPr>
                <w:i/>
                <w:sz w:val="20"/>
                <w:lang w:val="en-US"/>
              </w:rPr>
              <w:t>.</w:t>
            </w:r>
          </w:p>
          <w:p w:rsidR="00ED1659" w:rsidRPr="00072234" w:rsidRDefault="00ED1659" w:rsidP="00CA4F6E">
            <w:pPr>
              <w:jc w:val="both"/>
              <w:rPr>
                <w:rFonts w:cstheme="minorHAnsi"/>
                <w:i/>
                <w:sz w:val="20"/>
                <w:szCs w:val="20"/>
                <w:lang w:val="en-US"/>
              </w:rPr>
            </w:pPr>
            <w:r w:rsidRPr="00072234">
              <w:rPr>
                <w:rFonts w:cstheme="minorHAnsi"/>
                <w:i/>
                <w:sz w:val="20"/>
                <w:szCs w:val="20"/>
                <w:lang w:val="en-US"/>
              </w:rPr>
              <w:t>TKYB will not knowingly finance projects/activities involving the following:</w:t>
            </w:r>
          </w:p>
          <w:p w:rsidR="00ED1659" w:rsidRPr="00072234" w:rsidRDefault="00ED1659" w:rsidP="00CA4F6E">
            <w:pPr>
              <w:tabs>
                <w:tab w:val="left" w:pos="316"/>
              </w:tabs>
              <w:spacing w:after="0" w:line="240" w:lineRule="auto"/>
              <w:jc w:val="both"/>
              <w:rPr>
                <w:rFonts w:cstheme="minorHAnsi"/>
                <w:i/>
                <w:sz w:val="20"/>
                <w:szCs w:val="20"/>
                <w:lang w:val="en-US"/>
              </w:rPr>
            </w:pPr>
            <w:r w:rsidRPr="00072234">
              <w:rPr>
                <w:rFonts w:cstheme="minorHAnsi"/>
                <w:i/>
                <w:sz w:val="20"/>
                <w:szCs w:val="20"/>
                <w:lang w:val="en-US"/>
              </w:rPr>
              <w:t>1.</w:t>
            </w:r>
            <w:r w:rsidRPr="00072234">
              <w:rPr>
                <w:rFonts w:cstheme="minorHAnsi"/>
                <w:i/>
                <w:sz w:val="20"/>
                <w:szCs w:val="20"/>
                <w:lang w:val="en-US"/>
              </w:rPr>
              <w:tab/>
              <w:t>Forced labor or harmful or exploitative forms of child labor ;</w:t>
            </w:r>
          </w:p>
          <w:p w:rsidR="00ED1659" w:rsidRPr="00072234" w:rsidRDefault="00ED1659" w:rsidP="00CA4F6E">
            <w:pPr>
              <w:tabs>
                <w:tab w:val="left" w:pos="316"/>
              </w:tabs>
              <w:spacing w:after="0" w:line="240" w:lineRule="auto"/>
              <w:ind w:left="316" w:hanging="316"/>
              <w:jc w:val="both"/>
              <w:rPr>
                <w:rFonts w:cstheme="minorHAnsi"/>
                <w:i/>
                <w:sz w:val="20"/>
                <w:szCs w:val="20"/>
                <w:lang w:val="en-US"/>
              </w:rPr>
            </w:pPr>
            <w:r w:rsidRPr="00072234">
              <w:rPr>
                <w:rFonts w:cstheme="minorHAnsi"/>
                <w:i/>
                <w:sz w:val="20"/>
                <w:szCs w:val="20"/>
                <w:lang w:val="en-US"/>
              </w:rPr>
              <w:t>2.</w:t>
            </w:r>
            <w:r w:rsidRPr="00072234">
              <w:rPr>
                <w:rFonts w:cstheme="minorHAnsi"/>
                <w:i/>
                <w:sz w:val="20"/>
                <w:szCs w:val="20"/>
                <w:lang w:val="en-US"/>
              </w:rPr>
              <w:tab/>
              <w:t>The production of, or trade in, any product or activity deemed illegal under national laws or regulations of the country in which the Project is located, or international conventions and agreements, or subject to international phase out or bans, such as:</w:t>
            </w:r>
          </w:p>
          <w:p w:rsidR="00ED1659" w:rsidRPr="00072234" w:rsidRDefault="00ED1659" w:rsidP="00CA4F6E">
            <w:pPr>
              <w:numPr>
                <w:ilvl w:val="0"/>
                <w:numId w:val="2"/>
              </w:numPr>
              <w:tabs>
                <w:tab w:val="left" w:pos="793"/>
              </w:tabs>
              <w:spacing w:after="0" w:line="240" w:lineRule="auto"/>
              <w:contextualSpacing/>
              <w:jc w:val="both"/>
              <w:rPr>
                <w:rFonts w:cstheme="minorHAnsi"/>
                <w:i/>
                <w:sz w:val="20"/>
                <w:szCs w:val="20"/>
                <w:lang w:val="en-US" w:eastAsia="tr-TR"/>
              </w:rPr>
            </w:pPr>
            <w:r w:rsidRPr="00072234">
              <w:rPr>
                <w:rFonts w:cstheme="minorHAnsi"/>
                <w:i/>
                <w:sz w:val="20"/>
                <w:szCs w:val="20"/>
                <w:lang w:val="en-US" w:eastAsia="tr-TR"/>
              </w:rPr>
              <w:t>Production of, or trade in, products containing polychlorinated biphenyl (PCBs) .</w:t>
            </w:r>
          </w:p>
          <w:p w:rsidR="00ED1659" w:rsidRPr="00072234" w:rsidRDefault="00ED1659" w:rsidP="00CA4F6E">
            <w:pPr>
              <w:numPr>
                <w:ilvl w:val="0"/>
                <w:numId w:val="2"/>
              </w:numPr>
              <w:tabs>
                <w:tab w:val="left" w:pos="793"/>
              </w:tabs>
              <w:spacing w:after="0" w:line="240" w:lineRule="auto"/>
              <w:contextualSpacing/>
              <w:jc w:val="both"/>
              <w:rPr>
                <w:rFonts w:cstheme="minorHAnsi"/>
                <w:i/>
                <w:sz w:val="20"/>
                <w:szCs w:val="20"/>
                <w:lang w:val="en-US" w:eastAsia="tr-TR"/>
              </w:rPr>
            </w:pPr>
            <w:r w:rsidRPr="00072234">
              <w:rPr>
                <w:rFonts w:cstheme="minorHAnsi"/>
                <w:i/>
                <w:sz w:val="20"/>
                <w:szCs w:val="20"/>
                <w:lang w:val="en-US" w:eastAsia="tr-TR"/>
              </w:rPr>
              <w:t>Production of, or trade in, pharmaceuticals, pesticides/herbicides and other hazardous substances subject to international phase-outs or bans (Rotterdam Convention, Stockholm Convention) .</w:t>
            </w:r>
          </w:p>
          <w:p w:rsidR="00ED1659" w:rsidRPr="00072234" w:rsidRDefault="00ED1659" w:rsidP="00CA4F6E">
            <w:pPr>
              <w:numPr>
                <w:ilvl w:val="0"/>
                <w:numId w:val="2"/>
              </w:numPr>
              <w:tabs>
                <w:tab w:val="left" w:pos="793"/>
              </w:tabs>
              <w:spacing w:after="0" w:line="240" w:lineRule="auto"/>
              <w:contextualSpacing/>
              <w:jc w:val="both"/>
              <w:rPr>
                <w:rFonts w:cstheme="minorHAnsi"/>
                <w:i/>
                <w:sz w:val="20"/>
                <w:szCs w:val="20"/>
                <w:lang w:val="en-US" w:eastAsia="tr-TR"/>
              </w:rPr>
            </w:pPr>
            <w:r w:rsidRPr="00072234">
              <w:rPr>
                <w:rFonts w:cstheme="minorHAnsi"/>
                <w:i/>
                <w:sz w:val="20"/>
                <w:szCs w:val="20"/>
                <w:lang w:val="en-US" w:eastAsia="tr-TR"/>
              </w:rPr>
              <w:t>Production of, or trade in, ozone depleting substances subject to international phase out (Montreal Protocol).</w:t>
            </w:r>
          </w:p>
          <w:p w:rsidR="00ED1659" w:rsidRPr="00072234" w:rsidRDefault="00ED1659" w:rsidP="00CA4F6E">
            <w:pPr>
              <w:spacing w:after="0" w:line="240" w:lineRule="auto"/>
              <w:ind w:left="316" w:hanging="316"/>
              <w:jc w:val="both"/>
              <w:rPr>
                <w:rFonts w:cstheme="minorHAnsi"/>
                <w:i/>
                <w:sz w:val="20"/>
                <w:szCs w:val="20"/>
                <w:lang w:val="en-US"/>
              </w:rPr>
            </w:pPr>
            <w:r w:rsidRPr="00072234">
              <w:rPr>
                <w:rFonts w:cstheme="minorHAnsi"/>
                <w:i/>
                <w:sz w:val="20"/>
                <w:szCs w:val="20"/>
                <w:lang w:val="en-US"/>
              </w:rPr>
              <w:t>3.</w:t>
            </w:r>
            <w:r w:rsidRPr="00072234">
              <w:rPr>
                <w:rFonts w:cstheme="minorHAnsi"/>
                <w:i/>
                <w:sz w:val="20"/>
                <w:szCs w:val="20"/>
                <w:lang w:val="en-US"/>
              </w:rPr>
              <w:tab/>
              <w:t>Trade in wildlife or production of, or trade in, wildlife products regulated under the Convention on International Trade in Endangered Species of Wild Fauna and Flora (CITES) .</w:t>
            </w:r>
          </w:p>
          <w:p w:rsidR="00ED1659" w:rsidRPr="00072234" w:rsidRDefault="00ED1659" w:rsidP="00CA4F6E">
            <w:pPr>
              <w:spacing w:after="0" w:line="240" w:lineRule="auto"/>
              <w:ind w:left="316" w:hanging="316"/>
              <w:jc w:val="both"/>
              <w:rPr>
                <w:rFonts w:cstheme="minorHAnsi"/>
                <w:i/>
                <w:sz w:val="20"/>
                <w:szCs w:val="20"/>
                <w:lang w:val="en-US"/>
              </w:rPr>
            </w:pPr>
            <w:r w:rsidRPr="00072234">
              <w:rPr>
                <w:rFonts w:cstheme="minorHAnsi"/>
                <w:i/>
                <w:sz w:val="20"/>
                <w:szCs w:val="20"/>
                <w:lang w:val="en-US"/>
              </w:rPr>
              <w:t>4.</w:t>
            </w:r>
            <w:r w:rsidRPr="00072234">
              <w:rPr>
                <w:rFonts w:cstheme="minorHAnsi"/>
                <w:i/>
                <w:sz w:val="20"/>
                <w:szCs w:val="20"/>
                <w:lang w:val="en-US"/>
              </w:rPr>
              <w:tab/>
              <w:t>Trans-boundary movements of waste prohibited under international law (Basel Convention).</w:t>
            </w:r>
          </w:p>
          <w:p w:rsidR="00ED1659" w:rsidRPr="00072234" w:rsidRDefault="00ED1659" w:rsidP="00CA4F6E">
            <w:pPr>
              <w:spacing w:after="0" w:line="240" w:lineRule="auto"/>
              <w:ind w:left="316" w:hanging="316"/>
              <w:jc w:val="both"/>
              <w:rPr>
                <w:rFonts w:cstheme="minorHAnsi"/>
                <w:i/>
                <w:sz w:val="20"/>
                <w:szCs w:val="20"/>
                <w:lang w:val="en-US"/>
              </w:rPr>
            </w:pPr>
            <w:r w:rsidRPr="00072234">
              <w:rPr>
                <w:rFonts w:cstheme="minorHAnsi"/>
                <w:i/>
                <w:sz w:val="20"/>
                <w:szCs w:val="20"/>
                <w:lang w:val="en-US"/>
              </w:rPr>
              <w:t>5.</w:t>
            </w:r>
            <w:r w:rsidRPr="00072234">
              <w:rPr>
                <w:rFonts w:cstheme="minorHAnsi"/>
                <w:i/>
                <w:sz w:val="20"/>
                <w:szCs w:val="20"/>
                <w:lang w:val="en-US"/>
              </w:rPr>
              <w:tab/>
              <w:t>Production of, or trade in, weapons and munitions, including paramilitary materials.</w:t>
            </w:r>
          </w:p>
          <w:p w:rsidR="00ED1659" w:rsidRPr="00072234" w:rsidRDefault="00ED1659" w:rsidP="00CA4F6E">
            <w:pPr>
              <w:spacing w:after="0" w:line="240" w:lineRule="auto"/>
              <w:ind w:left="316" w:hanging="316"/>
              <w:jc w:val="both"/>
              <w:rPr>
                <w:rFonts w:cstheme="minorHAnsi"/>
                <w:i/>
                <w:sz w:val="20"/>
                <w:szCs w:val="20"/>
                <w:lang w:val="en-US"/>
              </w:rPr>
            </w:pPr>
            <w:r w:rsidRPr="00072234">
              <w:rPr>
                <w:rFonts w:cstheme="minorHAnsi"/>
                <w:i/>
                <w:sz w:val="20"/>
                <w:szCs w:val="20"/>
                <w:lang w:val="en-US"/>
              </w:rPr>
              <w:t>6.</w:t>
            </w:r>
            <w:r w:rsidRPr="00072234">
              <w:rPr>
                <w:rFonts w:cstheme="minorHAnsi"/>
                <w:i/>
                <w:sz w:val="20"/>
                <w:szCs w:val="20"/>
                <w:lang w:val="en-US"/>
              </w:rPr>
              <w:tab/>
              <w:t>Production of, or trade in, alcoholic beverages, excluding beer and wine.</w:t>
            </w:r>
          </w:p>
          <w:p w:rsidR="00ED1659" w:rsidRPr="00072234" w:rsidRDefault="00ED1659" w:rsidP="00CA4F6E">
            <w:pPr>
              <w:spacing w:after="0" w:line="240" w:lineRule="auto"/>
              <w:ind w:left="316" w:hanging="316"/>
              <w:jc w:val="both"/>
              <w:rPr>
                <w:rFonts w:cstheme="minorHAnsi"/>
                <w:i/>
                <w:sz w:val="20"/>
                <w:szCs w:val="20"/>
                <w:lang w:val="en-US"/>
              </w:rPr>
            </w:pPr>
            <w:r w:rsidRPr="00072234">
              <w:rPr>
                <w:rFonts w:cstheme="minorHAnsi"/>
                <w:i/>
                <w:sz w:val="20"/>
                <w:szCs w:val="20"/>
                <w:lang w:val="en-US"/>
              </w:rPr>
              <w:t>7.</w:t>
            </w:r>
            <w:r w:rsidRPr="00072234">
              <w:rPr>
                <w:rFonts w:cstheme="minorHAnsi"/>
                <w:i/>
                <w:sz w:val="20"/>
                <w:szCs w:val="20"/>
                <w:lang w:val="en-US"/>
              </w:rPr>
              <w:tab/>
              <w:t xml:space="preserve">Production of, or trade in, tobacco. </w:t>
            </w:r>
          </w:p>
          <w:p w:rsidR="00ED1659" w:rsidRPr="00072234" w:rsidRDefault="00ED1659" w:rsidP="00CA4F6E">
            <w:pPr>
              <w:tabs>
                <w:tab w:val="left" w:pos="316"/>
              </w:tabs>
              <w:spacing w:after="0" w:line="240" w:lineRule="auto"/>
              <w:jc w:val="both"/>
              <w:rPr>
                <w:rFonts w:cstheme="minorHAnsi"/>
                <w:i/>
                <w:sz w:val="20"/>
                <w:szCs w:val="20"/>
                <w:lang w:val="en-US"/>
              </w:rPr>
            </w:pPr>
            <w:r w:rsidRPr="00072234">
              <w:rPr>
                <w:rFonts w:cstheme="minorHAnsi"/>
                <w:i/>
                <w:sz w:val="20"/>
                <w:szCs w:val="20"/>
                <w:lang w:val="en-US"/>
              </w:rPr>
              <w:t>8.</w:t>
            </w:r>
            <w:r w:rsidRPr="00072234">
              <w:rPr>
                <w:rFonts w:cstheme="minorHAnsi"/>
                <w:i/>
                <w:sz w:val="20"/>
                <w:szCs w:val="20"/>
                <w:lang w:val="en-US"/>
              </w:rPr>
              <w:tab/>
              <w:t>Gambling, casinos and equivalent enterprises.</w:t>
            </w:r>
          </w:p>
          <w:p w:rsidR="00ED1659" w:rsidRPr="00072234" w:rsidRDefault="00ED1659" w:rsidP="00CA4F6E">
            <w:pPr>
              <w:tabs>
                <w:tab w:val="left" w:pos="316"/>
              </w:tabs>
              <w:spacing w:after="0" w:line="240" w:lineRule="auto"/>
              <w:jc w:val="both"/>
              <w:rPr>
                <w:rFonts w:cstheme="minorHAnsi"/>
                <w:i/>
                <w:sz w:val="20"/>
                <w:szCs w:val="20"/>
                <w:lang w:val="en-US"/>
              </w:rPr>
            </w:pPr>
            <w:r w:rsidRPr="00072234">
              <w:rPr>
                <w:rFonts w:cstheme="minorHAnsi"/>
                <w:i/>
                <w:sz w:val="20"/>
                <w:szCs w:val="20"/>
                <w:lang w:val="en-US"/>
              </w:rPr>
              <w:t>9.</w:t>
            </w:r>
            <w:r w:rsidRPr="00072234">
              <w:rPr>
                <w:rFonts w:cstheme="minorHAnsi"/>
                <w:i/>
                <w:sz w:val="20"/>
                <w:szCs w:val="20"/>
                <w:lang w:val="en-US"/>
              </w:rPr>
              <w:tab/>
              <w:t xml:space="preserve">Production of, trade in, or use of unbounded asbestos </w:t>
            </w:r>
            <w:proofErr w:type="spellStart"/>
            <w:r w:rsidRPr="00072234">
              <w:rPr>
                <w:rFonts w:cstheme="minorHAnsi"/>
                <w:i/>
                <w:sz w:val="20"/>
                <w:szCs w:val="20"/>
                <w:lang w:val="en-US"/>
              </w:rPr>
              <w:t>fibres</w:t>
            </w:r>
            <w:proofErr w:type="spellEnd"/>
            <w:r w:rsidRPr="00072234">
              <w:rPr>
                <w:rFonts w:cstheme="minorHAnsi"/>
                <w:i/>
                <w:sz w:val="20"/>
                <w:szCs w:val="20"/>
                <w:lang w:val="en-US"/>
              </w:rPr>
              <w:t>.</w:t>
            </w:r>
          </w:p>
          <w:p w:rsidR="00ED1659" w:rsidRPr="00072234" w:rsidRDefault="00ED1659" w:rsidP="00CA4F6E">
            <w:pPr>
              <w:tabs>
                <w:tab w:val="left" w:pos="316"/>
              </w:tabs>
              <w:spacing w:after="0" w:line="240" w:lineRule="auto"/>
              <w:ind w:left="316" w:hanging="425"/>
              <w:jc w:val="both"/>
              <w:rPr>
                <w:rFonts w:cstheme="minorHAnsi"/>
                <w:i/>
                <w:sz w:val="20"/>
                <w:szCs w:val="20"/>
                <w:lang w:val="en-US"/>
              </w:rPr>
            </w:pPr>
            <w:r w:rsidRPr="00072234">
              <w:rPr>
                <w:rFonts w:cstheme="minorHAnsi"/>
                <w:i/>
                <w:sz w:val="20"/>
                <w:szCs w:val="20"/>
                <w:lang w:val="en-US"/>
              </w:rPr>
              <w:t>10.</w:t>
            </w:r>
            <w:r w:rsidRPr="00072234">
              <w:rPr>
                <w:rFonts w:cstheme="minorHAnsi"/>
                <w:i/>
                <w:sz w:val="20"/>
                <w:szCs w:val="20"/>
                <w:lang w:val="en-US"/>
              </w:rPr>
              <w:tab/>
              <w:t xml:space="preserve"> Activities prohibited by legislation of the country in which the Project is located or by international conventions relating to the protection of biodiversity resources or cultural resources, such as, Bonn Convention, </w:t>
            </w:r>
            <w:proofErr w:type="spellStart"/>
            <w:r w:rsidRPr="00072234">
              <w:rPr>
                <w:rFonts w:cstheme="minorHAnsi"/>
                <w:i/>
                <w:sz w:val="20"/>
                <w:szCs w:val="20"/>
                <w:lang w:val="en-US"/>
              </w:rPr>
              <w:t>Ramsar</w:t>
            </w:r>
            <w:proofErr w:type="spellEnd"/>
            <w:r w:rsidRPr="00072234">
              <w:rPr>
                <w:rFonts w:cstheme="minorHAnsi"/>
                <w:i/>
                <w:sz w:val="20"/>
                <w:szCs w:val="20"/>
                <w:lang w:val="en-US"/>
              </w:rPr>
              <w:t xml:space="preserve"> Convention, World Heritage Convention and Convention on Biological Diversity.</w:t>
            </w:r>
          </w:p>
          <w:p w:rsidR="00ED1659" w:rsidRPr="00072234" w:rsidRDefault="00ED1659" w:rsidP="00CA4F6E">
            <w:pPr>
              <w:tabs>
                <w:tab w:val="left" w:pos="458"/>
              </w:tabs>
              <w:spacing w:after="0" w:line="240" w:lineRule="auto"/>
              <w:ind w:left="316" w:hanging="316"/>
              <w:jc w:val="both"/>
              <w:rPr>
                <w:rFonts w:cstheme="minorHAnsi"/>
                <w:i/>
                <w:sz w:val="20"/>
                <w:szCs w:val="20"/>
                <w:lang w:val="en-US"/>
              </w:rPr>
            </w:pPr>
            <w:r w:rsidRPr="00072234">
              <w:rPr>
                <w:rFonts w:cstheme="minorHAnsi"/>
                <w:i/>
                <w:sz w:val="20"/>
                <w:szCs w:val="20"/>
                <w:lang w:val="en-US"/>
              </w:rPr>
              <w:t>11.</w:t>
            </w:r>
            <w:r w:rsidRPr="00072234">
              <w:rPr>
                <w:rFonts w:cstheme="minorHAnsi"/>
                <w:i/>
                <w:sz w:val="20"/>
                <w:szCs w:val="20"/>
                <w:lang w:val="en-US"/>
              </w:rPr>
              <w:tab/>
              <w:t>Commercial logging operations or the purchase of logging equipment for use in primary tropical moist forests or old-growth forests.</w:t>
            </w:r>
          </w:p>
          <w:p w:rsidR="00ED1659" w:rsidRPr="00072234" w:rsidRDefault="00ED1659" w:rsidP="00CA4F6E">
            <w:pPr>
              <w:spacing w:after="0" w:line="240" w:lineRule="auto"/>
              <w:ind w:left="316" w:hanging="316"/>
              <w:jc w:val="both"/>
              <w:rPr>
                <w:rFonts w:cstheme="minorHAnsi"/>
                <w:i/>
                <w:sz w:val="20"/>
                <w:szCs w:val="20"/>
                <w:lang w:val="en-US"/>
              </w:rPr>
            </w:pPr>
            <w:r w:rsidRPr="00072234">
              <w:rPr>
                <w:rFonts w:cstheme="minorHAnsi"/>
                <w:i/>
                <w:sz w:val="20"/>
                <w:szCs w:val="20"/>
                <w:lang w:val="en-US"/>
              </w:rPr>
              <w:t>12.</w:t>
            </w:r>
            <w:r w:rsidRPr="00072234">
              <w:rPr>
                <w:rFonts w:cstheme="minorHAnsi"/>
                <w:i/>
                <w:sz w:val="20"/>
                <w:szCs w:val="20"/>
                <w:lang w:val="en-US"/>
              </w:rPr>
              <w:tab/>
              <w:t>Production or trade in wood or other forestry products other than from sustainably managed forests.</w:t>
            </w:r>
          </w:p>
          <w:p w:rsidR="00ED1659" w:rsidRPr="00072234" w:rsidRDefault="00ED1659" w:rsidP="00CA4F6E">
            <w:pPr>
              <w:tabs>
                <w:tab w:val="left" w:pos="175"/>
              </w:tabs>
              <w:spacing w:after="0" w:line="240" w:lineRule="auto"/>
              <w:ind w:left="316" w:hanging="316"/>
              <w:jc w:val="both"/>
              <w:rPr>
                <w:rFonts w:cstheme="minorHAnsi"/>
                <w:i/>
                <w:sz w:val="20"/>
                <w:szCs w:val="20"/>
                <w:lang w:val="en-US"/>
              </w:rPr>
            </w:pPr>
            <w:r w:rsidRPr="00072234">
              <w:rPr>
                <w:rFonts w:cstheme="minorHAnsi"/>
                <w:i/>
                <w:sz w:val="20"/>
                <w:szCs w:val="20"/>
                <w:lang w:val="en-US"/>
              </w:rPr>
              <w:t>13.</w:t>
            </w:r>
            <w:r w:rsidRPr="00072234">
              <w:rPr>
                <w:rFonts w:cstheme="minorHAnsi"/>
                <w:i/>
                <w:sz w:val="20"/>
                <w:szCs w:val="20"/>
                <w:lang w:val="en-US"/>
              </w:rPr>
              <w:tab/>
              <w:t>Marine and coastal fishing practices, such as large-scale pelagic drift net fishing and fine mesh net fishing, harmful to vulnerable and protected species in large numbers and damaging to marine biodiversity and habitats.</w:t>
            </w:r>
          </w:p>
          <w:p w:rsidR="00ED1659" w:rsidRPr="00072234" w:rsidRDefault="00ED1659" w:rsidP="00CA4F6E">
            <w:pPr>
              <w:tabs>
                <w:tab w:val="left" w:pos="175"/>
              </w:tabs>
              <w:spacing w:after="0" w:line="240" w:lineRule="auto"/>
              <w:ind w:left="316" w:hanging="316"/>
              <w:jc w:val="both"/>
              <w:rPr>
                <w:rFonts w:ascii="Times New Roman" w:hAnsi="Times New Roman"/>
                <w:sz w:val="20"/>
                <w:szCs w:val="20"/>
                <w:lang w:val="en-US"/>
              </w:rPr>
            </w:pPr>
            <w:r w:rsidRPr="00072234">
              <w:rPr>
                <w:rFonts w:cstheme="minorHAnsi"/>
                <w:i/>
                <w:sz w:val="20"/>
                <w:szCs w:val="20"/>
                <w:lang w:val="en-US"/>
              </w:rPr>
              <w:t>14.</w:t>
            </w:r>
            <w:r w:rsidRPr="00072234">
              <w:rPr>
                <w:rFonts w:cstheme="minorHAnsi"/>
                <w:i/>
                <w:sz w:val="20"/>
                <w:szCs w:val="20"/>
                <w:lang w:val="en-US"/>
              </w:rPr>
              <w:tab/>
              <w:t>Shipment of oil or other hazardous substances in tankers that do not comply with IMO requirements (IMO, MARPOL, SOLAS</w:t>
            </w:r>
            <w:r>
              <w:rPr>
                <w:rFonts w:cstheme="minorHAnsi"/>
                <w:i/>
                <w:sz w:val="20"/>
                <w:szCs w:val="20"/>
                <w:lang w:val="en-US"/>
              </w:rPr>
              <w:t xml:space="preserve"> and Paris MOU).</w:t>
            </w:r>
          </w:p>
        </w:tc>
      </w:tr>
    </w:tbl>
    <w:p w:rsidR="00ED1659" w:rsidRDefault="00ED1659" w:rsidP="00ED1659"/>
    <w:sectPr w:rsidR="00ED165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633" w:rsidRDefault="00E07633" w:rsidP="00ED1659">
      <w:pPr>
        <w:spacing w:after="0" w:line="240" w:lineRule="auto"/>
      </w:pPr>
      <w:r>
        <w:separator/>
      </w:r>
    </w:p>
  </w:endnote>
  <w:endnote w:type="continuationSeparator" w:id="0">
    <w:p w:rsidR="00E07633" w:rsidRDefault="00E07633" w:rsidP="00ED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633" w:rsidRDefault="00E07633" w:rsidP="00ED1659">
      <w:pPr>
        <w:spacing w:after="0" w:line="240" w:lineRule="auto"/>
      </w:pPr>
      <w:r>
        <w:separator/>
      </w:r>
    </w:p>
  </w:footnote>
  <w:footnote w:type="continuationSeparator" w:id="0">
    <w:p w:rsidR="00E07633" w:rsidRDefault="00E07633" w:rsidP="00ED16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64B83"/>
    <w:multiLevelType w:val="hybridMultilevel"/>
    <w:tmpl w:val="31980BB4"/>
    <w:lvl w:ilvl="0" w:tplc="041F0019">
      <w:start w:val="1"/>
      <w:numFmt w:val="lowerLetter"/>
      <w:lvlText w:val="%1."/>
      <w:lvlJc w:val="left"/>
      <w:pPr>
        <w:ind w:left="753" w:hanging="360"/>
      </w:pPr>
    </w:lvl>
    <w:lvl w:ilvl="1" w:tplc="041F0019" w:tentative="1">
      <w:start w:val="1"/>
      <w:numFmt w:val="lowerLetter"/>
      <w:lvlText w:val="%2."/>
      <w:lvlJc w:val="left"/>
      <w:pPr>
        <w:ind w:left="1473" w:hanging="360"/>
      </w:pPr>
    </w:lvl>
    <w:lvl w:ilvl="2" w:tplc="041F001B" w:tentative="1">
      <w:start w:val="1"/>
      <w:numFmt w:val="lowerRoman"/>
      <w:lvlText w:val="%3."/>
      <w:lvlJc w:val="right"/>
      <w:pPr>
        <w:ind w:left="2193" w:hanging="180"/>
      </w:pPr>
    </w:lvl>
    <w:lvl w:ilvl="3" w:tplc="041F000F" w:tentative="1">
      <w:start w:val="1"/>
      <w:numFmt w:val="decimal"/>
      <w:lvlText w:val="%4."/>
      <w:lvlJc w:val="left"/>
      <w:pPr>
        <w:ind w:left="2913" w:hanging="360"/>
      </w:pPr>
    </w:lvl>
    <w:lvl w:ilvl="4" w:tplc="041F0019" w:tentative="1">
      <w:start w:val="1"/>
      <w:numFmt w:val="lowerLetter"/>
      <w:lvlText w:val="%5."/>
      <w:lvlJc w:val="left"/>
      <w:pPr>
        <w:ind w:left="3633" w:hanging="360"/>
      </w:pPr>
    </w:lvl>
    <w:lvl w:ilvl="5" w:tplc="041F001B" w:tentative="1">
      <w:start w:val="1"/>
      <w:numFmt w:val="lowerRoman"/>
      <w:lvlText w:val="%6."/>
      <w:lvlJc w:val="right"/>
      <w:pPr>
        <w:ind w:left="4353" w:hanging="180"/>
      </w:pPr>
    </w:lvl>
    <w:lvl w:ilvl="6" w:tplc="041F000F" w:tentative="1">
      <w:start w:val="1"/>
      <w:numFmt w:val="decimal"/>
      <w:lvlText w:val="%7."/>
      <w:lvlJc w:val="left"/>
      <w:pPr>
        <w:ind w:left="5073" w:hanging="360"/>
      </w:pPr>
    </w:lvl>
    <w:lvl w:ilvl="7" w:tplc="041F0019" w:tentative="1">
      <w:start w:val="1"/>
      <w:numFmt w:val="lowerLetter"/>
      <w:lvlText w:val="%8."/>
      <w:lvlJc w:val="left"/>
      <w:pPr>
        <w:ind w:left="5793" w:hanging="360"/>
      </w:pPr>
    </w:lvl>
    <w:lvl w:ilvl="8" w:tplc="041F001B" w:tentative="1">
      <w:start w:val="1"/>
      <w:numFmt w:val="lowerRoman"/>
      <w:lvlText w:val="%9."/>
      <w:lvlJc w:val="right"/>
      <w:pPr>
        <w:ind w:left="6513" w:hanging="180"/>
      </w:pPr>
    </w:lvl>
  </w:abstractNum>
  <w:abstractNum w:abstractNumId="1" w15:restartNumberingAfterBreak="0">
    <w:nsid w:val="66800811"/>
    <w:multiLevelType w:val="multilevel"/>
    <w:tmpl w:val="E0688C54"/>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646"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89"/>
    <w:rsid w:val="001831F2"/>
    <w:rsid w:val="00840324"/>
    <w:rsid w:val="008B5D9D"/>
    <w:rsid w:val="00A92C0D"/>
    <w:rsid w:val="00AD64EF"/>
    <w:rsid w:val="00B27089"/>
    <w:rsid w:val="00BC3512"/>
    <w:rsid w:val="00E07633"/>
    <w:rsid w:val="00ED1659"/>
    <w:rsid w:val="00FF55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48538"/>
  <w15:chartTrackingRefBased/>
  <w15:docId w15:val="{F37CAF01-BDC2-4028-8FA1-6E47BF3D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659"/>
  </w:style>
  <w:style w:type="paragraph" w:styleId="Footer">
    <w:name w:val="footer"/>
    <w:basedOn w:val="Normal"/>
    <w:link w:val="FooterChar"/>
    <w:uiPriority w:val="99"/>
    <w:unhideWhenUsed/>
    <w:rsid w:val="00ED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c.org/exclusionli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6A230-F2B7-481F-AFA2-F04657E64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448</Words>
  <Characters>2560</Characters>
  <Application>Microsoft Office Word</Application>
  <DocSecurity>0</DocSecurity>
  <Lines>21</Lines>
  <Paragraphs>6</Paragraphs>
  <ScaleCrop>false</ScaleCrop>
  <Company>Kalkınma Yatırım Bankası</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 Düşgün</dc:creator>
  <cp:keywords/>
  <dc:description/>
  <cp:lastModifiedBy>Eren Düşgün</cp:lastModifiedBy>
  <cp:revision>3</cp:revision>
  <dcterms:created xsi:type="dcterms:W3CDTF">2021-12-17T08:29:00Z</dcterms:created>
  <dcterms:modified xsi:type="dcterms:W3CDTF">2021-12-17T08:34:00Z</dcterms:modified>
</cp:coreProperties>
</file>